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2F487D4" wp14:paraId="2C078E63" wp14:textId="2C2B8867">
      <w:pPr>
        <w:rPr>
          <w:rFonts w:ascii="Arial Black" w:hAnsi="Arial Black" w:eastAsia="Arial Black" w:cs="Arial Black"/>
          <w:b w:val="1"/>
          <w:bCs w:val="1"/>
          <w:color w:val="00A04E"/>
          <w:sz w:val="44"/>
          <w:szCs w:val="44"/>
        </w:rPr>
      </w:pPr>
      <w:r w:rsidRPr="32F487D4" w:rsidR="5D8670E7">
        <w:rPr>
          <w:rFonts w:ascii="Arial Black" w:hAnsi="Arial Black" w:eastAsia="Arial Black" w:cs="Arial Black"/>
          <w:b w:val="1"/>
          <w:bCs w:val="1"/>
          <w:color w:val="00A04E"/>
          <w:sz w:val="44"/>
          <w:szCs w:val="44"/>
        </w:rPr>
        <w:t>Flexible Retirement Policy</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2115"/>
        <w:gridCol w:w="4455"/>
        <w:gridCol w:w="2685"/>
      </w:tblGrid>
      <w:tr w:rsidR="32F487D4" w:rsidTr="32F487D4" w14:paraId="4C2C39E0">
        <w:trPr>
          <w:trHeight w:val="300"/>
        </w:trPr>
        <w:tc>
          <w:tcPr>
            <w:tcW w:w="2115" w:type="dxa"/>
            <w:shd w:val="clear" w:color="auto" w:fill="00A04E"/>
            <w:tcMar>
              <w:left w:w="105" w:type="dxa"/>
              <w:right w:w="105" w:type="dxa"/>
            </w:tcMar>
            <w:vAlign w:val="top"/>
          </w:tcPr>
          <w:p w:rsidR="32F487D4" w:rsidP="32F487D4" w:rsidRDefault="32F487D4" w14:paraId="4E336A8D" w14:textId="025F8D54">
            <w:pPr>
              <w:pStyle w:val="SubHead"/>
              <w:spacing w:line="240" w:lineRule="auto"/>
              <w:jc w:val="center"/>
              <w:rPr>
                <w:rFonts w:ascii="Arial" w:hAnsi="Arial" w:eastAsia="Arial" w:cs="Arial"/>
                <w:b w:val="1"/>
                <w:bCs w:val="1"/>
                <w:i w:val="0"/>
                <w:iCs w:val="0"/>
                <w:caps w:val="0"/>
                <w:smallCaps w:val="0"/>
                <w:color w:val="FFFFFF" w:themeColor="background1" w:themeTint="FF" w:themeShade="FF"/>
                <w:sz w:val="22"/>
                <w:szCs w:val="22"/>
              </w:rPr>
            </w:pPr>
            <w:r w:rsidRPr="32F487D4" w:rsidR="32F487D4">
              <w:rPr>
                <w:rFonts w:ascii="Arial" w:hAnsi="Arial" w:eastAsia="Arial" w:cs="Arial"/>
                <w:b w:val="1"/>
                <w:bCs w:val="1"/>
                <w:i w:val="0"/>
                <w:iCs w:val="0"/>
                <w:caps w:val="0"/>
                <w:smallCaps w:val="0"/>
                <w:color w:val="FFFFFF" w:themeColor="background1" w:themeTint="FF" w:themeShade="FF"/>
                <w:sz w:val="22"/>
                <w:szCs w:val="22"/>
                <w:lang w:val="en-GB"/>
              </w:rPr>
              <w:t>Version</w:t>
            </w:r>
          </w:p>
        </w:tc>
        <w:tc>
          <w:tcPr>
            <w:tcW w:w="4455" w:type="dxa"/>
            <w:shd w:val="clear" w:color="auto" w:fill="00A04E"/>
            <w:tcMar>
              <w:left w:w="105" w:type="dxa"/>
              <w:right w:w="105" w:type="dxa"/>
            </w:tcMar>
            <w:vAlign w:val="top"/>
          </w:tcPr>
          <w:p w:rsidR="32F487D4" w:rsidP="32F487D4" w:rsidRDefault="32F487D4" w14:paraId="33C40666" w14:textId="71511393">
            <w:pPr>
              <w:pStyle w:val="SubHead"/>
              <w:spacing w:line="240" w:lineRule="auto"/>
              <w:jc w:val="center"/>
              <w:rPr>
                <w:rFonts w:ascii="Arial" w:hAnsi="Arial" w:eastAsia="Arial" w:cs="Arial"/>
                <w:b w:val="1"/>
                <w:bCs w:val="1"/>
                <w:i w:val="0"/>
                <w:iCs w:val="0"/>
                <w:caps w:val="0"/>
                <w:smallCaps w:val="0"/>
                <w:color w:val="FFFFFF" w:themeColor="background1" w:themeTint="FF" w:themeShade="FF"/>
                <w:sz w:val="22"/>
                <w:szCs w:val="22"/>
              </w:rPr>
            </w:pPr>
            <w:r w:rsidRPr="32F487D4" w:rsidR="32F487D4">
              <w:rPr>
                <w:rFonts w:ascii="Arial" w:hAnsi="Arial" w:eastAsia="Arial" w:cs="Arial"/>
                <w:b w:val="1"/>
                <w:bCs w:val="1"/>
                <w:i w:val="0"/>
                <w:iCs w:val="0"/>
                <w:caps w:val="0"/>
                <w:smallCaps w:val="0"/>
                <w:color w:val="FFFFFF" w:themeColor="background1" w:themeTint="FF" w:themeShade="FF"/>
                <w:sz w:val="22"/>
                <w:szCs w:val="22"/>
                <w:lang w:val="en-GB"/>
              </w:rPr>
              <w:t>Changes</w:t>
            </w:r>
          </w:p>
        </w:tc>
        <w:tc>
          <w:tcPr>
            <w:tcW w:w="2685" w:type="dxa"/>
            <w:shd w:val="clear" w:color="auto" w:fill="00A04E"/>
            <w:tcMar>
              <w:left w:w="105" w:type="dxa"/>
              <w:right w:w="105" w:type="dxa"/>
            </w:tcMar>
            <w:vAlign w:val="top"/>
          </w:tcPr>
          <w:p w:rsidR="32F487D4" w:rsidP="32F487D4" w:rsidRDefault="32F487D4" w14:paraId="05181A3B" w14:textId="1C3F6CD5">
            <w:pPr>
              <w:pStyle w:val="SubHead"/>
              <w:spacing w:line="240" w:lineRule="auto"/>
              <w:jc w:val="center"/>
              <w:rPr>
                <w:rFonts w:ascii="Arial" w:hAnsi="Arial" w:eastAsia="Arial" w:cs="Arial"/>
                <w:b w:val="1"/>
                <w:bCs w:val="1"/>
                <w:i w:val="0"/>
                <w:iCs w:val="0"/>
                <w:caps w:val="0"/>
                <w:smallCaps w:val="0"/>
                <w:color w:val="FFFFFF" w:themeColor="background1" w:themeTint="FF" w:themeShade="FF"/>
                <w:sz w:val="22"/>
                <w:szCs w:val="22"/>
              </w:rPr>
            </w:pPr>
            <w:r w:rsidRPr="32F487D4" w:rsidR="32F487D4">
              <w:rPr>
                <w:rFonts w:ascii="Arial" w:hAnsi="Arial" w:eastAsia="Arial" w:cs="Arial"/>
                <w:b w:val="1"/>
                <w:bCs w:val="1"/>
                <w:i w:val="0"/>
                <w:iCs w:val="0"/>
                <w:caps w:val="0"/>
                <w:smallCaps w:val="0"/>
                <w:color w:val="FFFFFF" w:themeColor="background1" w:themeTint="FF" w:themeShade="FF"/>
                <w:sz w:val="22"/>
                <w:szCs w:val="22"/>
                <w:lang w:val="en-GB"/>
              </w:rPr>
              <w:t>Author</w:t>
            </w:r>
          </w:p>
        </w:tc>
      </w:tr>
      <w:tr w:rsidR="32F487D4" w:rsidTr="32F487D4" w14:paraId="0441BA19">
        <w:trPr>
          <w:trHeight w:val="300"/>
        </w:trPr>
        <w:tc>
          <w:tcPr>
            <w:tcW w:w="2115" w:type="dxa"/>
            <w:tcMar>
              <w:left w:w="105" w:type="dxa"/>
              <w:right w:w="105" w:type="dxa"/>
            </w:tcMar>
            <w:vAlign w:val="top"/>
          </w:tcPr>
          <w:p w:rsidR="32F487D4" w:rsidP="32F487D4" w:rsidRDefault="32F487D4" w14:paraId="061DA271" w14:textId="6DCFD1D9">
            <w:pPr>
              <w:pStyle w:val="SubHead"/>
              <w:spacing w:line="240" w:lineRule="auto"/>
              <w:rPr>
                <w:rFonts w:ascii="Arial" w:hAnsi="Arial" w:eastAsia="Arial" w:cs="Arial"/>
                <w:b w:val="1"/>
                <w:bCs w:val="1"/>
                <w:i w:val="0"/>
                <w:iCs w:val="0"/>
                <w:caps w:val="0"/>
                <w:smallCaps w:val="0"/>
                <w:color w:val="000000" w:themeColor="text1" w:themeTint="FF" w:themeShade="FF"/>
                <w:sz w:val="22"/>
                <w:szCs w:val="22"/>
              </w:rPr>
            </w:pPr>
            <w:r w:rsidRPr="32F487D4" w:rsidR="32F487D4">
              <w:rPr>
                <w:rFonts w:ascii="Arial" w:hAnsi="Arial" w:eastAsia="Arial" w:cs="Arial"/>
                <w:b w:val="0"/>
                <w:bCs w:val="0"/>
                <w:i w:val="0"/>
                <w:iCs w:val="0"/>
                <w:caps w:val="0"/>
                <w:smallCaps w:val="0"/>
                <w:color w:val="000000" w:themeColor="text1" w:themeTint="FF" w:themeShade="FF"/>
                <w:sz w:val="22"/>
                <w:szCs w:val="22"/>
                <w:lang w:val="en-GB"/>
              </w:rPr>
              <w:t xml:space="preserve">V1 October 2014 </w:t>
            </w:r>
          </w:p>
        </w:tc>
        <w:tc>
          <w:tcPr>
            <w:tcW w:w="4455" w:type="dxa"/>
            <w:tcMar>
              <w:left w:w="105" w:type="dxa"/>
              <w:right w:w="105" w:type="dxa"/>
            </w:tcMar>
            <w:vAlign w:val="top"/>
          </w:tcPr>
          <w:p w:rsidR="32F487D4" w:rsidP="32F487D4" w:rsidRDefault="32F487D4" w14:paraId="72892376" w14:textId="51FCEF77">
            <w:pPr>
              <w:spacing w:line="240" w:lineRule="auto"/>
              <w:rPr>
                <w:rFonts w:ascii="Arial" w:hAnsi="Arial" w:eastAsia="Arial" w:cs="Arial"/>
                <w:b w:val="1"/>
                <w:bCs w:val="1"/>
                <w:i w:val="0"/>
                <w:iCs w:val="0"/>
                <w:caps w:val="0"/>
                <w:smallCaps w:val="0"/>
                <w:color w:val="000000" w:themeColor="text1" w:themeTint="FF" w:themeShade="FF"/>
                <w:sz w:val="22"/>
                <w:szCs w:val="22"/>
              </w:rPr>
            </w:pPr>
          </w:p>
        </w:tc>
        <w:tc>
          <w:tcPr>
            <w:tcW w:w="2685" w:type="dxa"/>
            <w:tcMar>
              <w:left w:w="105" w:type="dxa"/>
              <w:right w:w="105" w:type="dxa"/>
            </w:tcMar>
            <w:vAlign w:val="top"/>
          </w:tcPr>
          <w:p w:rsidR="32F487D4" w:rsidP="32F487D4" w:rsidRDefault="32F487D4" w14:paraId="473942A7" w14:textId="6614F5CD">
            <w:pPr>
              <w:spacing w:line="240" w:lineRule="auto"/>
              <w:rPr>
                <w:rFonts w:ascii="Arial" w:hAnsi="Arial" w:eastAsia="Arial" w:cs="Arial"/>
                <w:b w:val="1"/>
                <w:bCs w:val="1"/>
                <w:i w:val="0"/>
                <w:iCs w:val="0"/>
                <w:caps w:val="0"/>
                <w:smallCaps w:val="0"/>
                <w:color w:val="000000" w:themeColor="text1" w:themeTint="FF" w:themeShade="FF"/>
                <w:sz w:val="22"/>
                <w:szCs w:val="22"/>
              </w:rPr>
            </w:pPr>
          </w:p>
        </w:tc>
      </w:tr>
      <w:tr w:rsidR="32F487D4" w:rsidTr="32F487D4" w14:paraId="78984D61">
        <w:trPr>
          <w:trHeight w:val="300"/>
        </w:trPr>
        <w:tc>
          <w:tcPr>
            <w:tcW w:w="2115" w:type="dxa"/>
            <w:tcMar>
              <w:left w:w="105" w:type="dxa"/>
              <w:right w:w="105" w:type="dxa"/>
            </w:tcMar>
            <w:vAlign w:val="top"/>
          </w:tcPr>
          <w:p w:rsidR="32F487D4" w:rsidP="32F487D4" w:rsidRDefault="32F487D4" w14:paraId="7CE1338C" w14:textId="1E869B74">
            <w:pPr>
              <w:pStyle w:val="SubHead"/>
              <w:spacing w:line="240" w:lineRule="auto"/>
              <w:rPr>
                <w:rFonts w:ascii="Arial" w:hAnsi="Arial" w:eastAsia="Arial" w:cs="Arial"/>
                <w:b w:val="1"/>
                <w:bCs w:val="1"/>
                <w:i w:val="0"/>
                <w:iCs w:val="0"/>
                <w:caps w:val="0"/>
                <w:smallCaps w:val="0"/>
                <w:color w:val="000000" w:themeColor="text1" w:themeTint="FF" w:themeShade="FF"/>
                <w:sz w:val="22"/>
                <w:szCs w:val="22"/>
              </w:rPr>
            </w:pPr>
            <w:r w:rsidRPr="32F487D4" w:rsidR="32F487D4">
              <w:rPr>
                <w:rFonts w:ascii="Arial" w:hAnsi="Arial" w:eastAsia="Arial" w:cs="Arial"/>
                <w:b w:val="0"/>
                <w:bCs w:val="0"/>
                <w:i w:val="0"/>
                <w:iCs w:val="0"/>
                <w:caps w:val="0"/>
                <w:smallCaps w:val="0"/>
                <w:color w:val="000000" w:themeColor="text1" w:themeTint="FF" w:themeShade="FF"/>
                <w:sz w:val="22"/>
                <w:szCs w:val="22"/>
                <w:lang w:val="en-GB"/>
              </w:rPr>
              <w:t xml:space="preserve">V2 January 2019 </w:t>
            </w:r>
          </w:p>
        </w:tc>
        <w:tc>
          <w:tcPr>
            <w:tcW w:w="4455" w:type="dxa"/>
            <w:tcMar>
              <w:left w:w="105" w:type="dxa"/>
              <w:right w:w="105" w:type="dxa"/>
            </w:tcMar>
            <w:vAlign w:val="top"/>
          </w:tcPr>
          <w:p w:rsidR="32F487D4" w:rsidP="32F487D4" w:rsidRDefault="32F487D4" w14:paraId="47CDF6FD" w14:textId="6D37726B">
            <w:pPr>
              <w:pStyle w:val="SubHead"/>
              <w:spacing w:line="240" w:lineRule="auto"/>
              <w:rPr>
                <w:rFonts w:ascii="Arial" w:hAnsi="Arial" w:eastAsia="Arial" w:cs="Arial"/>
                <w:b w:val="1"/>
                <w:bCs w:val="1"/>
                <w:i w:val="0"/>
                <w:iCs w:val="0"/>
                <w:caps w:val="0"/>
                <w:smallCaps w:val="0"/>
                <w:color w:val="000000" w:themeColor="text1" w:themeTint="FF" w:themeShade="FF"/>
                <w:sz w:val="22"/>
                <w:szCs w:val="22"/>
              </w:rPr>
            </w:pPr>
            <w:r w:rsidRPr="32F487D4" w:rsidR="32F487D4">
              <w:rPr>
                <w:rFonts w:ascii="Arial" w:hAnsi="Arial" w:eastAsia="Arial" w:cs="Arial"/>
                <w:b w:val="0"/>
                <w:bCs w:val="0"/>
                <w:i w:val="0"/>
                <w:iCs w:val="0"/>
                <w:caps w:val="0"/>
                <w:smallCaps w:val="0"/>
                <w:color w:val="000000" w:themeColor="text1" w:themeTint="FF" w:themeShade="FF"/>
                <w:sz w:val="22"/>
                <w:szCs w:val="22"/>
                <w:lang w:val="en-GB"/>
              </w:rPr>
              <w:t xml:space="preserve">Removed links to out of date policies / updated changes to team name and job titles  </w:t>
            </w:r>
          </w:p>
        </w:tc>
        <w:tc>
          <w:tcPr>
            <w:tcW w:w="2685" w:type="dxa"/>
            <w:tcMar>
              <w:left w:w="105" w:type="dxa"/>
              <w:right w:w="105" w:type="dxa"/>
            </w:tcMar>
            <w:vAlign w:val="top"/>
          </w:tcPr>
          <w:p w:rsidR="32F487D4" w:rsidP="32F487D4" w:rsidRDefault="32F487D4" w14:paraId="2E793FA6" w14:textId="0C467FAE">
            <w:pPr>
              <w:pStyle w:val="SubHead"/>
              <w:spacing w:line="240" w:lineRule="auto"/>
              <w:rPr>
                <w:rFonts w:ascii="Arial" w:hAnsi="Arial" w:eastAsia="Arial" w:cs="Arial"/>
                <w:b w:val="1"/>
                <w:bCs w:val="1"/>
                <w:i w:val="0"/>
                <w:iCs w:val="0"/>
                <w:caps w:val="0"/>
                <w:smallCaps w:val="0"/>
                <w:color w:val="000000" w:themeColor="text1" w:themeTint="FF" w:themeShade="FF"/>
                <w:sz w:val="22"/>
                <w:szCs w:val="22"/>
              </w:rPr>
            </w:pPr>
            <w:r w:rsidRPr="32F487D4" w:rsidR="32F487D4">
              <w:rPr>
                <w:rFonts w:ascii="Arial" w:hAnsi="Arial" w:eastAsia="Arial" w:cs="Arial"/>
                <w:b w:val="0"/>
                <w:bCs w:val="0"/>
                <w:i w:val="0"/>
                <w:iCs w:val="0"/>
                <w:caps w:val="0"/>
                <w:smallCaps w:val="0"/>
                <w:color w:val="000000" w:themeColor="text1" w:themeTint="FF" w:themeShade="FF"/>
                <w:sz w:val="22"/>
                <w:szCs w:val="22"/>
                <w:lang w:val="en-GB"/>
              </w:rPr>
              <w:t xml:space="preserve">People Management </w:t>
            </w:r>
          </w:p>
        </w:tc>
      </w:tr>
      <w:tr w:rsidR="32F487D4" w:rsidTr="32F487D4" w14:paraId="154578D4">
        <w:trPr>
          <w:trHeight w:val="300"/>
        </w:trPr>
        <w:tc>
          <w:tcPr>
            <w:tcW w:w="2115" w:type="dxa"/>
            <w:tcMar>
              <w:left w:w="105" w:type="dxa"/>
              <w:right w:w="105" w:type="dxa"/>
            </w:tcMar>
            <w:vAlign w:val="top"/>
          </w:tcPr>
          <w:p w:rsidR="32F487D4" w:rsidP="32F487D4" w:rsidRDefault="32F487D4" w14:paraId="1A69AC96" w14:textId="47344037">
            <w:pPr>
              <w:pStyle w:val="SubHead"/>
              <w:spacing w:line="240" w:lineRule="auto"/>
              <w:rPr>
                <w:rFonts w:ascii="Arial" w:hAnsi="Arial" w:eastAsia="Arial" w:cs="Arial"/>
                <w:b w:val="1"/>
                <w:bCs w:val="1"/>
                <w:i w:val="0"/>
                <w:iCs w:val="0"/>
                <w:caps w:val="0"/>
                <w:smallCaps w:val="0"/>
                <w:color w:val="000000" w:themeColor="text1" w:themeTint="FF" w:themeShade="FF"/>
                <w:sz w:val="22"/>
                <w:szCs w:val="22"/>
              </w:rPr>
            </w:pPr>
            <w:r w:rsidRPr="32F487D4" w:rsidR="32F487D4">
              <w:rPr>
                <w:rFonts w:ascii="Arial" w:hAnsi="Arial" w:eastAsia="Arial" w:cs="Arial"/>
                <w:b w:val="0"/>
                <w:bCs w:val="0"/>
                <w:i w:val="0"/>
                <w:iCs w:val="0"/>
                <w:caps w:val="0"/>
                <w:smallCaps w:val="0"/>
                <w:color w:val="000000" w:themeColor="text1" w:themeTint="FF" w:themeShade="FF"/>
                <w:sz w:val="22"/>
                <w:szCs w:val="22"/>
                <w:lang w:val="en-GB"/>
              </w:rPr>
              <w:t xml:space="preserve">V3 November 2020 </w:t>
            </w:r>
          </w:p>
        </w:tc>
        <w:tc>
          <w:tcPr>
            <w:tcW w:w="4455" w:type="dxa"/>
            <w:tcMar>
              <w:left w:w="105" w:type="dxa"/>
              <w:right w:w="105" w:type="dxa"/>
            </w:tcMar>
            <w:vAlign w:val="top"/>
          </w:tcPr>
          <w:p w:rsidR="32F487D4" w:rsidP="32F487D4" w:rsidRDefault="32F487D4" w14:paraId="32504273" w14:textId="53171A37">
            <w:pPr>
              <w:pStyle w:val="SubHead"/>
              <w:spacing w:line="240" w:lineRule="auto"/>
              <w:rPr>
                <w:rFonts w:ascii="Arial" w:hAnsi="Arial" w:eastAsia="Arial" w:cs="Arial"/>
                <w:b w:val="1"/>
                <w:bCs w:val="1"/>
                <w:i w:val="0"/>
                <w:iCs w:val="0"/>
                <w:caps w:val="0"/>
                <w:smallCaps w:val="0"/>
                <w:color w:val="000000" w:themeColor="text1" w:themeTint="FF" w:themeShade="FF"/>
                <w:sz w:val="22"/>
                <w:szCs w:val="22"/>
              </w:rPr>
            </w:pPr>
            <w:r w:rsidRPr="32F487D4" w:rsidR="32F487D4">
              <w:rPr>
                <w:rFonts w:ascii="Arial" w:hAnsi="Arial" w:eastAsia="Arial" w:cs="Arial"/>
                <w:b w:val="0"/>
                <w:bCs w:val="0"/>
                <w:i w:val="0"/>
                <w:iCs w:val="0"/>
                <w:caps w:val="0"/>
                <w:smallCaps w:val="0"/>
                <w:color w:val="000000" w:themeColor="text1" w:themeTint="FF" w:themeShade="FF"/>
                <w:sz w:val="22"/>
                <w:szCs w:val="22"/>
                <w:lang w:val="en-GB"/>
              </w:rPr>
              <w:t>Consent for Pension estimates</w:t>
            </w:r>
          </w:p>
        </w:tc>
        <w:tc>
          <w:tcPr>
            <w:tcW w:w="2685" w:type="dxa"/>
            <w:tcMar>
              <w:left w:w="105" w:type="dxa"/>
              <w:right w:w="105" w:type="dxa"/>
            </w:tcMar>
            <w:vAlign w:val="top"/>
          </w:tcPr>
          <w:p w:rsidR="32F487D4" w:rsidP="32F487D4" w:rsidRDefault="32F487D4" w14:paraId="54C9AC9F" w14:textId="68DC9808">
            <w:pPr>
              <w:pStyle w:val="SubHead"/>
              <w:spacing w:line="240" w:lineRule="auto"/>
              <w:rPr>
                <w:rFonts w:ascii="Arial" w:hAnsi="Arial" w:eastAsia="Arial" w:cs="Arial"/>
                <w:b w:val="1"/>
                <w:bCs w:val="1"/>
                <w:i w:val="0"/>
                <w:iCs w:val="0"/>
                <w:caps w:val="0"/>
                <w:smallCaps w:val="0"/>
                <w:color w:val="000000" w:themeColor="text1" w:themeTint="FF" w:themeShade="FF"/>
                <w:sz w:val="22"/>
                <w:szCs w:val="22"/>
              </w:rPr>
            </w:pPr>
            <w:r w:rsidRPr="32F487D4" w:rsidR="32F487D4">
              <w:rPr>
                <w:rFonts w:ascii="Arial" w:hAnsi="Arial" w:eastAsia="Arial" w:cs="Arial"/>
                <w:b w:val="0"/>
                <w:bCs w:val="0"/>
                <w:i w:val="0"/>
                <w:iCs w:val="0"/>
                <w:caps w:val="0"/>
                <w:smallCaps w:val="0"/>
                <w:color w:val="000000" w:themeColor="text1" w:themeTint="FF" w:themeShade="FF"/>
                <w:sz w:val="22"/>
                <w:szCs w:val="22"/>
                <w:lang w:val="en-GB"/>
              </w:rPr>
              <w:t xml:space="preserve">People Management </w:t>
            </w:r>
          </w:p>
        </w:tc>
      </w:tr>
      <w:tr w:rsidR="32F487D4" w:rsidTr="32F487D4" w14:paraId="5770E175">
        <w:trPr>
          <w:trHeight w:val="300"/>
        </w:trPr>
        <w:tc>
          <w:tcPr>
            <w:tcW w:w="2115" w:type="dxa"/>
            <w:tcMar>
              <w:left w:w="105" w:type="dxa"/>
              <w:right w:w="105" w:type="dxa"/>
            </w:tcMar>
            <w:vAlign w:val="top"/>
          </w:tcPr>
          <w:p w:rsidR="32F487D4" w:rsidP="32F487D4" w:rsidRDefault="32F487D4" w14:paraId="0F9AC2AC" w14:textId="5B1EAEAE">
            <w:pPr>
              <w:pStyle w:val="SubHead"/>
              <w:spacing w:line="240" w:lineRule="auto"/>
              <w:rPr>
                <w:rFonts w:ascii="Arial" w:hAnsi="Arial" w:eastAsia="Arial" w:cs="Arial"/>
                <w:b w:val="1"/>
                <w:bCs w:val="1"/>
                <w:i w:val="0"/>
                <w:iCs w:val="0"/>
                <w:caps w:val="0"/>
                <w:smallCaps w:val="0"/>
                <w:color w:val="000000" w:themeColor="text1" w:themeTint="FF" w:themeShade="FF"/>
                <w:sz w:val="22"/>
                <w:szCs w:val="22"/>
              </w:rPr>
            </w:pPr>
            <w:r w:rsidRPr="32F487D4" w:rsidR="32F487D4">
              <w:rPr>
                <w:rFonts w:ascii="Arial" w:hAnsi="Arial" w:eastAsia="Arial" w:cs="Arial"/>
                <w:b w:val="0"/>
                <w:bCs w:val="0"/>
                <w:i w:val="0"/>
                <w:iCs w:val="0"/>
                <w:caps w:val="0"/>
                <w:smallCaps w:val="0"/>
                <w:color w:val="000000" w:themeColor="text1" w:themeTint="FF" w:themeShade="FF"/>
                <w:sz w:val="22"/>
                <w:szCs w:val="22"/>
                <w:lang w:val="en-GB"/>
              </w:rPr>
              <w:t>V4 February 2023</w:t>
            </w:r>
          </w:p>
        </w:tc>
        <w:tc>
          <w:tcPr>
            <w:tcW w:w="4455" w:type="dxa"/>
            <w:tcMar>
              <w:left w:w="105" w:type="dxa"/>
              <w:right w:w="105" w:type="dxa"/>
            </w:tcMar>
            <w:vAlign w:val="top"/>
          </w:tcPr>
          <w:p w:rsidR="32F487D4" w:rsidP="32F487D4" w:rsidRDefault="32F487D4" w14:paraId="10B553C6" w14:textId="0FDCC9CE">
            <w:pPr>
              <w:pStyle w:val="SubHead"/>
              <w:spacing w:line="240" w:lineRule="auto"/>
              <w:rPr>
                <w:rFonts w:ascii="Arial" w:hAnsi="Arial" w:eastAsia="Arial" w:cs="Arial"/>
                <w:b w:val="1"/>
                <w:bCs w:val="1"/>
                <w:i w:val="0"/>
                <w:iCs w:val="0"/>
                <w:caps w:val="0"/>
                <w:smallCaps w:val="0"/>
                <w:color w:val="000000" w:themeColor="text1" w:themeTint="FF" w:themeShade="FF"/>
                <w:sz w:val="22"/>
                <w:szCs w:val="22"/>
              </w:rPr>
            </w:pPr>
            <w:r w:rsidRPr="32F487D4" w:rsidR="32F487D4">
              <w:rPr>
                <w:rFonts w:ascii="Arial" w:hAnsi="Arial" w:eastAsia="Arial" w:cs="Arial"/>
                <w:b w:val="0"/>
                <w:bCs w:val="0"/>
                <w:i w:val="0"/>
                <w:iCs w:val="0"/>
                <w:caps w:val="0"/>
                <w:smallCaps w:val="0"/>
                <w:color w:val="000000" w:themeColor="text1" w:themeTint="FF" w:themeShade="FF"/>
                <w:sz w:val="22"/>
                <w:szCs w:val="22"/>
                <w:lang w:val="en-GB"/>
              </w:rPr>
              <w:t xml:space="preserve">Removal of ‘Abatement’ </w:t>
            </w:r>
          </w:p>
          <w:p w:rsidR="32F487D4" w:rsidP="32F487D4" w:rsidRDefault="32F487D4" w14:paraId="0E76767F" w14:textId="66AA55C8">
            <w:pPr>
              <w:pStyle w:val="SubHead"/>
              <w:spacing w:line="240" w:lineRule="auto"/>
              <w:rPr>
                <w:rFonts w:ascii="Arial" w:hAnsi="Arial" w:eastAsia="Arial" w:cs="Arial"/>
                <w:b w:val="1"/>
                <w:bCs w:val="1"/>
                <w:i w:val="0"/>
                <w:iCs w:val="0"/>
                <w:caps w:val="0"/>
                <w:smallCaps w:val="0"/>
                <w:color w:val="000000" w:themeColor="text1" w:themeTint="FF" w:themeShade="FF"/>
                <w:sz w:val="22"/>
                <w:szCs w:val="22"/>
              </w:rPr>
            </w:pPr>
            <w:r w:rsidRPr="32F487D4" w:rsidR="32F487D4">
              <w:rPr>
                <w:rFonts w:ascii="Arial" w:hAnsi="Arial" w:eastAsia="Arial" w:cs="Arial"/>
                <w:b w:val="0"/>
                <w:bCs w:val="0"/>
                <w:i w:val="0"/>
                <w:iCs w:val="0"/>
                <w:caps w:val="0"/>
                <w:smallCaps w:val="0"/>
                <w:color w:val="000000" w:themeColor="text1" w:themeTint="FF" w:themeShade="FF"/>
                <w:sz w:val="22"/>
                <w:szCs w:val="22"/>
                <w:lang w:val="en-GB"/>
              </w:rPr>
              <w:t>Clarifying ‘rule of 85’</w:t>
            </w:r>
          </w:p>
          <w:p w:rsidR="32F487D4" w:rsidP="32F487D4" w:rsidRDefault="32F487D4" w14:paraId="390C33C9" w14:textId="3B944E7A">
            <w:pPr>
              <w:pStyle w:val="SubHead"/>
              <w:spacing w:line="240" w:lineRule="auto"/>
              <w:rPr>
                <w:rFonts w:ascii="Arial" w:hAnsi="Arial" w:eastAsia="Arial" w:cs="Arial"/>
                <w:b w:val="1"/>
                <w:bCs w:val="1"/>
                <w:i w:val="0"/>
                <w:iCs w:val="0"/>
                <w:caps w:val="0"/>
                <w:smallCaps w:val="0"/>
                <w:color w:val="000000" w:themeColor="text1" w:themeTint="FF" w:themeShade="FF"/>
                <w:sz w:val="22"/>
                <w:szCs w:val="22"/>
              </w:rPr>
            </w:pPr>
            <w:r w:rsidRPr="32F487D4" w:rsidR="32F487D4">
              <w:rPr>
                <w:rFonts w:ascii="Arial" w:hAnsi="Arial" w:eastAsia="Arial" w:cs="Arial"/>
                <w:b w:val="0"/>
                <w:bCs w:val="0"/>
                <w:i w:val="0"/>
                <w:iCs w:val="0"/>
                <w:caps w:val="0"/>
                <w:smallCaps w:val="0"/>
                <w:color w:val="000000" w:themeColor="text1" w:themeTint="FF" w:themeShade="FF"/>
                <w:sz w:val="22"/>
                <w:szCs w:val="22"/>
                <w:lang w:val="en-GB"/>
              </w:rPr>
              <w:t xml:space="preserve"> </w:t>
            </w:r>
          </w:p>
        </w:tc>
        <w:tc>
          <w:tcPr>
            <w:tcW w:w="2685" w:type="dxa"/>
            <w:tcMar>
              <w:left w:w="105" w:type="dxa"/>
              <w:right w:w="105" w:type="dxa"/>
            </w:tcMar>
            <w:vAlign w:val="top"/>
          </w:tcPr>
          <w:p w:rsidR="32F487D4" w:rsidP="32F487D4" w:rsidRDefault="32F487D4" w14:paraId="4411D90D" w14:textId="70FB84A0">
            <w:pPr>
              <w:pStyle w:val="SubHead"/>
              <w:spacing w:line="240" w:lineRule="auto"/>
              <w:rPr>
                <w:rFonts w:ascii="Arial" w:hAnsi="Arial" w:eastAsia="Arial" w:cs="Arial"/>
                <w:b w:val="1"/>
                <w:bCs w:val="1"/>
                <w:i w:val="0"/>
                <w:iCs w:val="0"/>
                <w:caps w:val="0"/>
                <w:smallCaps w:val="0"/>
                <w:color w:val="000000" w:themeColor="text1" w:themeTint="FF" w:themeShade="FF"/>
                <w:sz w:val="22"/>
                <w:szCs w:val="22"/>
              </w:rPr>
            </w:pPr>
            <w:r w:rsidRPr="32F487D4" w:rsidR="32F487D4">
              <w:rPr>
                <w:rFonts w:ascii="Arial" w:hAnsi="Arial" w:eastAsia="Arial" w:cs="Arial"/>
                <w:b w:val="0"/>
                <w:bCs w:val="0"/>
                <w:i w:val="0"/>
                <w:iCs w:val="0"/>
                <w:caps w:val="0"/>
                <w:smallCaps w:val="0"/>
                <w:color w:val="000000" w:themeColor="text1" w:themeTint="FF" w:themeShade="FF"/>
                <w:sz w:val="22"/>
                <w:szCs w:val="22"/>
                <w:lang w:val="en-GB"/>
              </w:rPr>
              <w:t>People Management</w:t>
            </w:r>
          </w:p>
        </w:tc>
      </w:tr>
    </w:tbl>
    <w:p w:rsidR="32F487D4" w:rsidP="32F487D4" w:rsidRDefault="32F487D4" w14:paraId="7F18B914" w14:textId="4908CB9F">
      <w:pPr>
        <w:pStyle w:val="SubHead"/>
        <w:spacing w:line="240" w:lineRule="auto"/>
        <w:rPr>
          <w:rFonts w:ascii="Arial Black" w:hAnsi="Arial Black" w:eastAsia="Arial Black" w:cs="Arial Black"/>
          <w:b w:val="0"/>
          <w:bCs w:val="0"/>
          <w:i w:val="0"/>
          <w:iCs w:val="0"/>
          <w:caps w:val="0"/>
          <w:smallCaps w:val="0"/>
          <w:noProof w:val="0"/>
          <w:color w:val="31849B"/>
          <w:sz w:val="28"/>
          <w:szCs w:val="28"/>
          <w:lang w:val="en-GB"/>
        </w:rPr>
      </w:pPr>
    </w:p>
    <w:p w:rsidR="75EFE2A5" w:rsidP="32F487D4" w:rsidRDefault="75EFE2A5" w14:paraId="24185FD5" w14:textId="5E2D3AA6">
      <w:pPr>
        <w:pStyle w:val="SubHead"/>
        <w:spacing w:line="240" w:lineRule="auto"/>
        <w:rPr>
          <w:rFonts w:ascii="Arial Black" w:hAnsi="Arial Black" w:eastAsia="Arial Black" w:cs="Arial Black"/>
          <w:b w:val="1"/>
          <w:bCs w:val="1"/>
          <w:i w:val="0"/>
          <w:iCs w:val="0"/>
          <w:caps w:val="0"/>
          <w:smallCaps w:val="0"/>
          <w:noProof w:val="0"/>
          <w:color w:val="00A04E"/>
          <w:sz w:val="28"/>
          <w:szCs w:val="28"/>
          <w:lang w:val="en-US"/>
        </w:rPr>
      </w:pPr>
      <w:r w:rsidRPr="32F487D4" w:rsidR="75EFE2A5">
        <w:rPr>
          <w:rFonts w:ascii="Arial Black" w:hAnsi="Arial Black" w:eastAsia="Arial Black" w:cs="Arial Black"/>
          <w:b w:val="1"/>
          <w:bCs w:val="1"/>
          <w:i w:val="0"/>
          <w:iCs w:val="0"/>
          <w:caps w:val="0"/>
          <w:smallCaps w:val="0"/>
          <w:noProof w:val="0"/>
          <w:color w:val="00A04E"/>
          <w:sz w:val="28"/>
          <w:szCs w:val="28"/>
          <w:lang w:val="en-GB"/>
        </w:rPr>
        <w:t>Scope</w:t>
      </w:r>
    </w:p>
    <w:p w:rsidR="32F487D4" w:rsidP="32F487D4" w:rsidRDefault="32F487D4" w14:paraId="5685236B" w14:textId="13D7F53F">
      <w:pPr>
        <w:spacing w:line="240" w:lineRule="auto"/>
        <w:rPr>
          <w:rFonts w:ascii="Arial" w:hAnsi="Arial" w:eastAsia="Arial" w:cs="Arial"/>
          <w:b w:val="1"/>
          <w:bCs w:val="1"/>
          <w:i w:val="0"/>
          <w:iCs w:val="0"/>
          <w:caps w:val="0"/>
          <w:smallCaps w:val="0"/>
          <w:noProof w:val="0"/>
          <w:color w:val="000000" w:themeColor="text1" w:themeTint="FF" w:themeShade="FF"/>
          <w:sz w:val="24"/>
          <w:szCs w:val="24"/>
          <w:lang w:val="en-US"/>
        </w:rPr>
      </w:pPr>
    </w:p>
    <w:p w:rsidR="75EFE2A5" w:rsidP="32F487D4" w:rsidRDefault="75EFE2A5" w14:paraId="54A02A2C" w14:textId="6B87B9E5">
      <w:pPr>
        <w:pStyle w:val="SubHead"/>
        <w:spacing w:line="240" w:lineRule="auto"/>
        <w:rPr>
          <w:rFonts w:ascii="Arial" w:hAnsi="Arial" w:eastAsia="Arial" w:cs="Arial"/>
          <w:b w:val="1"/>
          <w:bCs w:val="1"/>
          <w:i w:val="0"/>
          <w:iCs w:val="0"/>
          <w:caps w:val="0"/>
          <w:smallCaps w:val="0"/>
          <w:noProof w:val="0"/>
          <w:color w:val="000000" w:themeColor="text1" w:themeTint="FF" w:themeShade="FF"/>
          <w:sz w:val="24"/>
          <w:szCs w:val="24"/>
          <w:lang w:val="en-US"/>
        </w:rPr>
      </w:pP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This policy applies to all employees covered by the NJC for local government employees and all other employees of the County Council for whom there is no other specific procedure laid down in national or local conditions of service, or where contractual conditions specify this procedure.</w:t>
      </w:r>
    </w:p>
    <w:p w:rsidR="32F487D4" w:rsidP="32F487D4" w:rsidRDefault="32F487D4" w14:paraId="5F2A07E6" w14:textId="616BE277">
      <w:pPr>
        <w:spacing w:line="240" w:lineRule="auto"/>
        <w:rPr>
          <w:rFonts w:ascii="Arial" w:hAnsi="Arial" w:eastAsia="Arial" w:cs="Arial"/>
          <w:b w:val="1"/>
          <w:bCs w:val="1"/>
          <w:i w:val="0"/>
          <w:iCs w:val="0"/>
          <w:caps w:val="0"/>
          <w:smallCaps w:val="0"/>
          <w:noProof w:val="0"/>
          <w:color w:val="000000" w:themeColor="text1" w:themeTint="FF" w:themeShade="FF"/>
          <w:sz w:val="24"/>
          <w:szCs w:val="24"/>
          <w:lang w:val="en-US"/>
        </w:rPr>
      </w:pPr>
    </w:p>
    <w:p w:rsidR="75EFE2A5" w:rsidP="32F487D4" w:rsidRDefault="75EFE2A5" w14:paraId="3A8C5892" w14:textId="4940907A">
      <w:pPr>
        <w:pStyle w:val="SubHead"/>
        <w:spacing w:line="240" w:lineRule="auto"/>
        <w:rPr>
          <w:rFonts w:ascii="Arial" w:hAnsi="Arial" w:eastAsia="Arial" w:cs="Arial"/>
          <w:b w:val="1"/>
          <w:bCs w:val="1"/>
          <w:i w:val="0"/>
          <w:iCs w:val="0"/>
          <w:caps w:val="0"/>
          <w:smallCaps w:val="0"/>
          <w:noProof w:val="0"/>
          <w:color w:val="000000" w:themeColor="text1" w:themeTint="FF" w:themeShade="FF"/>
          <w:sz w:val="24"/>
          <w:szCs w:val="24"/>
          <w:lang w:val="en-US"/>
        </w:rPr>
      </w:pP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It covers employees aged 55 or over and who are active members of the Local Government Pension Scheme (LGPS) and have 3 or more months’ pensionable service.</w:t>
      </w:r>
    </w:p>
    <w:p w:rsidR="32F487D4" w:rsidP="32F487D4" w:rsidRDefault="32F487D4" w14:paraId="2125B9EA" w14:textId="1744CDEB">
      <w:pPr>
        <w:spacing w:line="240" w:lineRule="auto"/>
        <w:rPr>
          <w:rFonts w:ascii="Arial" w:hAnsi="Arial" w:eastAsia="Arial" w:cs="Arial"/>
          <w:b w:val="1"/>
          <w:bCs w:val="1"/>
          <w:i w:val="0"/>
          <w:iCs w:val="0"/>
          <w:caps w:val="0"/>
          <w:smallCaps w:val="0"/>
          <w:noProof w:val="0"/>
          <w:color w:val="000000" w:themeColor="text1" w:themeTint="FF" w:themeShade="FF"/>
          <w:sz w:val="24"/>
          <w:szCs w:val="24"/>
          <w:lang w:val="en-US"/>
        </w:rPr>
      </w:pPr>
    </w:p>
    <w:p w:rsidR="75EFE2A5" w:rsidP="32F487D4" w:rsidRDefault="75EFE2A5" w14:paraId="2A3EAE41" w14:textId="38073BBC">
      <w:pPr>
        <w:pStyle w:val="SubHead"/>
        <w:spacing w:line="240" w:lineRule="auto"/>
        <w:rPr>
          <w:rFonts w:ascii="Arial" w:hAnsi="Arial" w:eastAsia="Arial" w:cs="Arial"/>
          <w:b w:val="1"/>
          <w:bCs w:val="1"/>
          <w:i w:val="0"/>
          <w:iCs w:val="0"/>
          <w:caps w:val="0"/>
          <w:smallCaps w:val="0"/>
          <w:noProof w:val="0"/>
          <w:color w:val="000000" w:themeColor="text1" w:themeTint="FF" w:themeShade="FF"/>
          <w:sz w:val="24"/>
          <w:szCs w:val="24"/>
          <w:lang w:val="en-US"/>
        </w:rPr>
      </w:pP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Employees who are not members of the Local Government Pension Scheme and who wish to reduce their hours / grade in the approach to retirement, may make an application under this policy (without payment of LGPS pension benefits) if they are aged 55 or over and have 3 or more months’ service with the Council.</w:t>
      </w:r>
    </w:p>
    <w:p w:rsidR="32F487D4" w:rsidP="32F487D4" w:rsidRDefault="32F487D4" w14:paraId="7106304D" w14:textId="18E3F88A">
      <w:pPr>
        <w:spacing w:line="240" w:lineRule="auto"/>
        <w:rPr>
          <w:rFonts w:ascii="Arial" w:hAnsi="Arial" w:eastAsia="Arial" w:cs="Arial"/>
          <w:b w:val="1"/>
          <w:bCs w:val="1"/>
          <w:i w:val="0"/>
          <w:iCs w:val="0"/>
          <w:caps w:val="0"/>
          <w:smallCaps w:val="0"/>
          <w:noProof w:val="0"/>
          <w:color w:val="31849B"/>
          <w:sz w:val="24"/>
          <w:szCs w:val="24"/>
          <w:lang w:val="en-US"/>
        </w:rPr>
      </w:pPr>
    </w:p>
    <w:p w:rsidR="75EFE2A5" w:rsidP="32F487D4" w:rsidRDefault="75EFE2A5" w14:paraId="4202A5C3" w14:textId="1D97F4F3">
      <w:pPr>
        <w:pStyle w:val="SubHead"/>
        <w:spacing w:line="240" w:lineRule="auto"/>
        <w:rPr>
          <w:rFonts w:ascii="Arial Black" w:hAnsi="Arial Black" w:eastAsia="Arial Black" w:cs="Arial Black"/>
          <w:b w:val="1"/>
          <w:bCs w:val="1"/>
          <w:i w:val="0"/>
          <w:iCs w:val="0"/>
          <w:caps w:val="0"/>
          <w:smallCaps w:val="0"/>
          <w:noProof w:val="0"/>
          <w:color w:val="00A04E"/>
          <w:sz w:val="28"/>
          <w:szCs w:val="28"/>
          <w:lang w:val="en-US"/>
        </w:rPr>
      </w:pPr>
      <w:r w:rsidRPr="32F487D4" w:rsidR="75EFE2A5">
        <w:rPr>
          <w:rFonts w:ascii="Arial Black" w:hAnsi="Arial Black" w:eastAsia="Arial Black" w:cs="Arial Black"/>
          <w:b w:val="1"/>
          <w:bCs w:val="1"/>
          <w:i w:val="0"/>
          <w:iCs w:val="0"/>
          <w:caps w:val="0"/>
          <w:smallCaps w:val="0"/>
          <w:noProof w:val="0"/>
          <w:color w:val="00A04E"/>
          <w:sz w:val="28"/>
          <w:szCs w:val="28"/>
          <w:lang w:val="en-GB"/>
        </w:rPr>
        <w:t>Purpose</w:t>
      </w:r>
    </w:p>
    <w:p w:rsidR="32F487D4" w:rsidP="32F487D4" w:rsidRDefault="32F487D4" w14:paraId="10040CCD" w14:textId="6C456BB6">
      <w:pPr>
        <w:spacing w:line="240" w:lineRule="auto"/>
        <w:rPr>
          <w:rFonts w:ascii="Arial" w:hAnsi="Arial" w:eastAsia="Arial" w:cs="Arial"/>
          <w:b w:val="1"/>
          <w:bCs w:val="1"/>
          <w:i w:val="0"/>
          <w:iCs w:val="0"/>
          <w:caps w:val="0"/>
          <w:smallCaps w:val="0"/>
          <w:noProof w:val="0"/>
          <w:color w:val="000000" w:themeColor="text1" w:themeTint="FF" w:themeShade="FF"/>
          <w:sz w:val="24"/>
          <w:szCs w:val="24"/>
          <w:lang w:val="en-US"/>
        </w:rPr>
      </w:pPr>
    </w:p>
    <w:p w:rsidR="75EFE2A5" w:rsidP="32F487D4" w:rsidRDefault="75EFE2A5" w14:paraId="3B4D1C82" w14:textId="3D2CFF28">
      <w:pPr>
        <w:pStyle w:val="SubHead"/>
        <w:spacing w:line="240" w:lineRule="auto"/>
        <w:rPr>
          <w:rFonts w:ascii="Arial" w:hAnsi="Arial" w:eastAsia="Arial" w:cs="Arial"/>
          <w:b w:val="1"/>
          <w:bCs w:val="1"/>
          <w:i w:val="0"/>
          <w:iCs w:val="0"/>
          <w:caps w:val="0"/>
          <w:smallCaps w:val="0"/>
          <w:noProof w:val="0"/>
          <w:color w:val="000000" w:themeColor="text1" w:themeTint="FF" w:themeShade="FF"/>
          <w:sz w:val="24"/>
          <w:szCs w:val="24"/>
          <w:lang w:val="en-US"/>
        </w:rPr>
      </w:pP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 xml:space="preserve">This policy is intended to enable employees to strike the right balance between working and their personal life when preparing for the change between working full-time and ceasing to work due to retirement.  It is also intended to enable the Council to retain the skills and knowledge of employees who are considering retirement and support its People Strategy.  </w:t>
      </w:r>
    </w:p>
    <w:p w:rsidR="32F487D4" w:rsidP="32F487D4" w:rsidRDefault="32F487D4" w14:paraId="3DCA02DA" w14:textId="207E8FD5">
      <w:pPr>
        <w:spacing w:line="240" w:lineRule="auto"/>
        <w:rPr>
          <w:rFonts w:ascii="Arial" w:hAnsi="Arial" w:eastAsia="Arial" w:cs="Arial"/>
          <w:b w:val="1"/>
          <w:bCs w:val="1"/>
          <w:i w:val="0"/>
          <w:iCs w:val="0"/>
          <w:caps w:val="0"/>
          <w:smallCaps w:val="0"/>
          <w:noProof w:val="0"/>
          <w:color w:val="000000" w:themeColor="text1" w:themeTint="FF" w:themeShade="FF"/>
          <w:sz w:val="24"/>
          <w:szCs w:val="24"/>
          <w:lang w:val="en-US"/>
        </w:rPr>
      </w:pPr>
    </w:p>
    <w:p w:rsidR="32F487D4" w:rsidP="32F487D4" w:rsidRDefault="32F487D4" w14:paraId="7A3B3537" w14:textId="0C8A40E6">
      <w:pPr>
        <w:spacing w:line="240" w:lineRule="auto"/>
        <w:rPr>
          <w:rFonts w:ascii="Arial Black" w:hAnsi="Arial Black" w:eastAsia="Arial Black" w:cs="Arial Black"/>
          <w:b w:val="1"/>
          <w:bCs w:val="1"/>
          <w:i w:val="0"/>
          <w:iCs w:val="0"/>
          <w:caps w:val="0"/>
          <w:smallCaps w:val="0"/>
          <w:noProof w:val="0"/>
          <w:color w:val="31849B"/>
          <w:sz w:val="28"/>
          <w:szCs w:val="28"/>
          <w:lang w:val="en-US"/>
        </w:rPr>
      </w:pPr>
    </w:p>
    <w:p w:rsidR="75EFE2A5" w:rsidP="32F487D4" w:rsidRDefault="75EFE2A5" w14:paraId="17F28E0E" w14:textId="0E7C7F07">
      <w:pPr>
        <w:pStyle w:val="SubHead"/>
        <w:spacing w:line="240" w:lineRule="auto"/>
        <w:rPr>
          <w:rFonts w:ascii="Arial Black" w:hAnsi="Arial Black" w:eastAsia="Arial Black" w:cs="Arial Black"/>
          <w:b w:val="1"/>
          <w:bCs w:val="1"/>
          <w:i w:val="0"/>
          <w:iCs w:val="0"/>
          <w:caps w:val="0"/>
          <w:smallCaps w:val="0"/>
          <w:noProof w:val="0"/>
          <w:color w:val="00A04E"/>
          <w:sz w:val="28"/>
          <w:szCs w:val="28"/>
          <w:lang w:val="en-US"/>
        </w:rPr>
      </w:pPr>
      <w:r w:rsidRPr="32F487D4" w:rsidR="75EFE2A5">
        <w:rPr>
          <w:rFonts w:ascii="Arial Black" w:hAnsi="Arial Black" w:eastAsia="Arial Black" w:cs="Arial Black"/>
          <w:b w:val="1"/>
          <w:bCs w:val="1"/>
          <w:i w:val="0"/>
          <w:iCs w:val="0"/>
          <w:caps w:val="0"/>
          <w:smallCaps w:val="0"/>
          <w:noProof w:val="0"/>
          <w:color w:val="00A04E"/>
          <w:sz w:val="28"/>
          <w:szCs w:val="28"/>
          <w:lang w:val="en-GB"/>
        </w:rPr>
        <w:t>Principles</w:t>
      </w:r>
    </w:p>
    <w:p w:rsidR="32F487D4" w:rsidP="32F487D4" w:rsidRDefault="32F487D4" w14:paraId="64CECA9B" w14:textId="557B4D98">
      <w:pPr>
        <w:spacing w:line="240" w:lineRule="auto"/>
        <w:rPr>
          <w:rFonts w:ascii="Arial" w:hAnsi="Arial" w:eastAsia="Arial" w:cs="Arial"/>
          <w:b w:val="1"/>
          <w:bCs w:val="1"/>
          <w:i w:val="0"/>
          <w:iCs w:val="0"/>
          <w:caps w:val="0"/>
          <w:smallCaps w:val="0"/>
          <w:noProof w:val="0"/>
          <w:color w:val="31849B"/>
          <w:sz w:val="24"/>
          <w:szCs w:val="24"/>
          <w:lang w:val="en-US"/>
        </w:rPr>
      </w:pPr>
    </w:p>
    <w:p w:rsidR="75EFE2A5" w:rsidP="32F487D4" w:rsidRDefault="75EFE2A5" w14:paraId="1E0BA158" w14:textId="4B348173">
      <w:pPr>
        <w:pStyle w:val="SubHead"/>
        <w:spacing w:line="240" w:lineRule="auto"/>
        <w:rPr>
          <w:rFonts w:ascii="Arial" w:hAnsi="Arial" w:eastAsia="Arial" w:cs="Arial"/>
          <w:b w:val="1"/>
          <w:bCs w:val="1"/>
          <w:i w:val="0"/>
          <w:iCs w:val="0"/>
          <w:caps w:val="0"/>
          <w:smallCaps w:val="0"/>
          <w:noProof w:val="0"/>
          <w:color w:val="000000" w:themeColor="text1" w:themeTint="FF" w:themeShade="FF"/>
          <w:sz w:val="24"/>
          <w:szCs w:val="24"/>
          <w:lang w:val="en-US"/>
        </w:rPr>
      </w:pP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Flexible Retirement may only be approved where it is of benefit to service provision delivery or is of sound economic benefit to the Council</w:t>
      </w:r>
    </w:p>
    <w:p w:rsidR="32F487D4" w:rsidP="32F487D4" w:rsidRDefault="32F487D4" w14:paraId="776EBC60" w14:textId="4B61700D">
      <w:pPr>
        <w:spacing w:line="240" w:lineRule="auto"/>
        <w:rPr>
          <w:rFonts w:ascii="Arial" w:hAnsi="Arial" w:eastAsia="Arial" w:cs="Arial"/>
          <w:b w:val="1"/>
          <w:bCs w:val="1"/>
          <w:i w:val="0"/>
          <w:iCs w:val="0"/>
          <w:caps w:val="0"/>
          <w:smallCaps w:val="0"/>
          <w:noProof w:val="0"/>
          <w:color w:val="000000" w:themeColor="text1" w:themeTint="FF" w:themeShade="FF"/>
          <w:sz w:val="24"/>
          <w:szCs w:val="24"/>
          <w:lang w:val="en-US"/>
        </w:rPr>
      </w:pPr>
    </w:p>
    <w:p w:rsidR="75EFE2A5" w:rsidP="32F487D4" w:rsidRDefault="75EFE2A5" w14:paraId="61865046" w14:textId="2F8C3638">
      <w:pPr>
        <w:pStyle w:val="SubHead"/>
        <w:spacing w:line="240" w:lineRule="auto"/>
        <w:rPr>
          <w:rFonts w:ascii="Arial" w:hAnsi="Arial" w:eastAsia="Arial" w:cs="Arial"/>
          <w:b w:val="1"/>
          <w:bCs w:val="1"/>
          <w:i w:val="0"/>
          <w:iCs w:val="0"/>
          <w:caps w:val="0"/>
          <w:smallCaps w:val="0"/>
          <w:noProof w:val="0"/>
          <w:color w:val="000000" w:themeColor="text1" w:themeTint="FF" w:themeShade="FF"/>
          <w:sz w:val="24"/>
          <w:szCs w:val="24"/>
          <w:lang w:val="en-US"/>
        </w:rPr>
      </w:pP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To be considered for flexible retirement (and payment of LGPS pension benefits) an employee must:</w:t>
      </w:r>
    </w:p>
    <w:p w:rsidR="75EFE2A5" w:rsidP="32F487D4" w:rsidRDefault="75EFE2A5" w14:paraId="5D7CBF6F" w14:textId="10B4EEC3">
      <w:pPr>
        <w:pStyle w:val="SubHead"/>
        <w:spacing w:line="240" w:lineRule="auto"/>
        <w:ind w:left="709" w:hanging="709"/>
        <w:rPr>
          <w:rFonts w:ascii="Arial" w:hAnsi="Arial" w:eastAsia="Arial" w:cs="Arial"/>
          <w:b w:val="1"/>
          <w:bCs w:val="1"/>
          <w:i w:val="0"/>
          <w:iCs w:val="0"/>
          <w:caps w:val="0"/>
          <w:smallCaps w:val="0"/>
          <w:noProof w:val="0"/>
          <w:color w:val="000000" w:themeColor="text1" w:themeTint="FF" w:themeShade="FF"/>
          <w:sz w:val="24"/>
          <w:szCs w:val="24"/>
          <w:lang w:val="en-US"/>
        </w:rPr>
      </w:pP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 xml:space="preserve">be aged between 55 and 74 (74 is the maximum age for admission to the LGPS); </w:t>
      </w:r>
    </w:p>
    <w:p w:rsidR="75EFE2A5" w:rsidP="32F487D4" w:rsidRDefault="75EFE2A5" w14:paraId="274C3276" w14:textId="5EBCF424">
      <w:pPr>
        <w:pStyle w:val="SubHead"/>
        <w:spacing w:line="240" w:lineRule="auto"/>
        <w:ind w:left="709" w:hanging="709"/>
        <w:rPr>
          <w:rFonts w:ascii="Arial" w:hAnsi="Arial" w:eastAsia="Arial" w:cs="Arial"/>
          <w:b w:val="1"/>
          <w:bCs w:val="1"/>
          <w:i w:val="0"/>
          <w:iCs w:val="0"/>
          <w:caps w:val="0"/>
          <w:smallCaps w:val="0"/>
          <w:noProof w:val="0"/>
          <w:color w:val="000000" w:themeColor="text1" w:themeTint="FF" w:themeShade="FF"/>
          <w:sz w:val="24"/>
          <w:szCs w:val="24"/>
          <w:lang w:val="en-US"/>
        </w:rPr>
      </w:pP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have 3 or more months’ membership of the LGPS, or have transferred pension rights into the LGPS; and</w:t>
      </w:r>
    </w:p>
    <w:p w:rsidR="75EFE2A5" w:rsidP="32F487D4" w:rsidRDefault="75EFE2A5" w14:paraId="3999A915" w14:textId="773E11E6">
      <w:pPr>
        <w:pStyle w:val="SubHead"/>
        <w:spacing w:line="240" w:lineRule="auto"/>
        <w:ind w:left="709" w:hanging="709"/>
        <w:rPr>
          <w:rFonts w:ascii="Arial" w:hAnsi="Arial" w:eastAsia="Arial" w:cs="Arial"/>
          <w:b w:val="1"/>
          <w:bCs w:val="1"/>
          <w:i w:val="0"/>
          <w:iCs w:val="0"/>
          <w:caps w:val="0"/>
          <w:smallCaps w:val="0"/>
          <w:noProof w:val="0"/>
          <w:color w:val="000000" w:themeColor="text1" w:themeTint="FF" w:themeShade="FF"/>
          <w:sz w:val="24"/>
          <w:szCs w:val="24"/>
          <w:lang w:val="en-US"/>
        </w:rPr>
      </w:pP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 xml:space="preserve">reduce the hours of their current job by at least 20 per cent or transfer to another available job which has either at least 20 per cent fewer hours or is at a lower grade </w:t>
      </w:r>
    </w:p>
    <w:p w:rsidR="75EFE2A5" w:rsidP="32F487D4" w:rsidRDefault="75EFE2A5" w14:paraId="299FF1EF" w14:textId="3BAB2FBD">
      <w:pPr>
        <w:pStyle w:val="SubHead"/>
        <w:spacing w:line="240" w:lineRule="auto"/>
        <w:ind w:left="709" w:hanging="709"/>
        <w:rPr>
          <w:rFonts w:ascii="Arial" w:hAnsi="Arial" w:eastAsia="Arial" w:cs="Arial"/>
          <w:b w:val="1"/>
          <w:bCs w:val="1"/>
          <w:i w:val="0"/>
          <w:iCs w:val="0"/>
          <w:caps w:val="0"/>
          <w:smallCaps w:val="0"/>
          <w:noProof w:val="0"/>
          <w:color w:val="000000" w:themeColor="text1" w:themeTint="FF" w:themeShade="FF"/>
          <w:sz w:val="24"/>
          <w:szCs w:val="24"/>
          <w:lang w:val="en-US"/>
        </w:rPr>
      </w:pP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 xml:space="preserve">for employees with two or more post, each post stands alone. </w:t>
      </w: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Therefore</w:t>
      </w: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 xml:space="preserve"> the reduction in hours must come from either one post or from both. It is not possible to make the reduction by stopping only one of the posts completely.</w:t>
      </w:r>
    </w:p>
    <w:p w:rsidR="32F487D4" w:rsidP="32F487D4" w:rsidRDefault="32F487D4" w14:paraId="7C0B6819" w14:textId="7D3F0CC3">
      <w:pPr>
        <w:spacing w:line="240" w:lineRule="auto"/>
        <w:ind w:left="709" w:hanging="709"/>
        <w:rPr>
          <w:rFonts w:ascii="Arial" w:hAnsi="Arial" w:eastAsia="Arial" w:cs="Arial"/>
          <w:b w:val="1"/>
          <w:bCs w:val="1"/>
          <w:i w:val="0"/>
          <w:iCs w:val="0"/>
          <w:caps w:val="0"/>
          <w:smallCaps w:val="0"/>
          <w:noProof w:val="0"/>
          <w:color w:val="000000" w:themeColor="text1" w:themeTint="FF" w:themeShade="FF"/>
          <w:sz w:val="24"/>
          <w:szCs w:val="24"/>
          <w:lang w:val="en-US"/>
        </w:rPr>
      </w:pPr>
    </w:p>
    <w:p w:rsidR="75EFE2A5" w:rsidP="32F487D4" w:rsidRDefault="75EFE2A5" w14:paraId="41F32DB8" w14:textId="3F1BE123">
      <w:pPr>
        <w:pStyle w:val="SubHead"/>
        <w:spacing w:line="240" w:lineRule="auto"/>
        <w:ind w:left="709" w:hanging="709"/>
        <w:rPr>
          <w:rFonts w:ascii="Arial" w:hAnsi="Arial" w:eastAsia="Arial" w:cs="Arial"/>
          <w:b w:val="1"/>
          <w:bCs w:val="1"/>
          <w:i w:val="0"/>
          <w:iCs w:val="0"/>
          <w:caps w:val="0"/>
          <w:smallCaps w:val="0"/>
          <w:noProof w:val="0"/>
          <w:color w:val="000000" w:themeColor="text1" w:themeTint="FF" w:themeShade="FF"/>
          <w:sz w:val="24"/>
          <w:szCs w:val="24"/>
          <w:lang w:val="en-US"/>
        </w:rPr>
      </w:pP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LGPS regulations specify that an employee can only take flexible retirement if the Council gives its consent to:</w:t>
      </w:r>
    </w:p>
    <w:p w:rsidR="75EFE2A5" w:rsidP="32F487D4" w:rsidRDefault="75EFE2A5" w14:paraId="1F3E4867" w14:textId="0CCE9D2E">
      <w:pPr>
        <w:pStyle w:val="SubHead"/>
        <w:spacing w:line="240" w:lineRule="auto"/>
        <w:rPr>
          <w:rFonts w:ascii="Arial" w:hAnsi="Arial" w:eastAsia="Arial" w:cs="Arial"/>
          <w:b w:val="1"/>
          <w:bCs w:val="1"/>
          <w:i w:val="0"/>
          <w:iCs w:val="0"/>
          <w:caps w:val="0"/>
          <w:smallCaps w:val="0"/>
          <w:noProof w:val="0"/>
          <w:color w:val="000000" w:themeColor="text1" w:themeTint="FF" w:themeShade="FF"/>
          <w:sz w:val="24"/>
          <w:szCs w:val="24"/>
          <w:lang w:val="en-US"/>
        </w:rPr>
      </w:pP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w:t>
      </w:r>
      <w:r>
        <w:tab/>
      </w: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a reduction in the employee’s hours and / or grade, and</w:t>
      </w:r>
    </w:p>
    <w:p w:rsidR="75EFE2A5" w:rsidP="32F487D4" w:rsidRDefault="75EFE2A5" w14:paraId="324FA1D4" w14:textId="43DA1DA5">
      <w:pPr>
        <w:pStyle w:val="SubHead"/>
        <w:spacing w:line="240" w:lineRule="auto"/>
        <w:rPr>
          <w:rFonts w:ascii="Arial" w:hAnsi="Arial" w:eastAsia="Arial" w:cs="Arial"/>
          <w:b w:val="1"/>
          <w:bCs w:val="1"/>
          <w:i w:val="0"/>
          <w:iCs w:val="0"/>
          <w:caps w:val="0"/>
          <w:smallCaps w:val="0"/>
          <w:noProof w:val="0"/>
          <w:color w:val="000000" w:themeColor="text1" w:themeTint="FF" w:themeShade="FF"/>
          <w:sz w:val="24"/>
          <w:szCs w:val="24"/>
          <w:lang w:val="en-US"/>
        </w:rPr>
      </w:pP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w:t>
      </w:r>
      <w:r>
        <w:tab/>
      </w: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 xml:space="preserve">release of their </w:t>
      </w: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accrued</w:t>
      </w: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 xml:space="preserve"> pension benefits</w:t>
      </w:r>
    </w:p>
    <w:p w:rsidR="32F487D4" w:rsidP="32F487D4" w:rsidRDefault="32F487D4" w14:paraId="4EF46392" w14:textId="7DCA69C8">
      <w:pPr>
        <w:spacing w:line="240" w:lineRule="auto"/>
        <w:rPr>
          <w:rFonts w:ascii="Arial" w:hAnsi="Arial" w:eastAsia="Arial" w:cs="Arial"/>
          <w:b w:val="1"/>
          <w:bCs w:val="1"/>
          <w:i w:val="0"/>
          <w:iCs w:val="0"/>
          <w:caps w:val="0"/>
          <w:smallCaps w:val="0"/>
          <w:noProof w:val="0"/>
          <w:color w:val="000000" w:themeColor="text1" w:themeTint="FF" w:themeShade="FF"/>
          <w:sz w:val="24"/>
          <w:szCs w:val="24"/>
          <w:lang w:val="en-US"/>
        </w:rPr>
      </w:pPr>
    </w:p>
    <w:p w:rsidR="75EFE2A5" w:rsidP="32F487D4" w:rsidRDefault="75EFE2A5" w14:paraId="00DA00F8" w14:textId="7A01A30B">
      <w:pPr>
        <w:pStyle w:val="SubHead"/>
        <w:spacing w:line="240" w:lineRule="auto"/>
        <w:rPr>
          <w:rFonts w:ascii="Arial" w:hAnsi="Arial" w:eastAsia="Arial" w:cs="Arial"/>
          <w:b w:val="1"/>
          <w:bCs w:val="1"/>
          <w:i w:val="0"/>
          <w:iCs w:val="0"/>
          <w:caps w:val="0"/>
          <w:smallCaps w:val="0"/>
          <w:noProof w:val="0"/>
          <w:color w:val="000000" w:themeColor="text1" w:themeTint="FF" w:themeShade="FF"/>
          <w:sz w:val="24"/>
          <w:szCs w:val="24"/>
          <w:lang w:val="en-US"/>
        </w:rPr>
      </w:pP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Once flexible retirement is granted, an employee cannot apply for a future position that may result in either an increase in hours or a higher grade.</w:t>
      </w:r>
    </w:p>
    <w:p w:rsidR="32F487D4" w:rsidP="32F487D4" w:rsidRDefault="32F487D4" w14:paraId="14B0BD6F" w14:textId="20C496B0">
      <w:pPr>
        <w:spacing w:line="240" w:lineRule="auto"/>
        <w:rPr>
          <w:rFonts w:ascii="Arial" w:hAnsi="Arial" w:eastAsia="Arial" w:cs="Arial"/>
          <w:b w:val="1"/>
          <w:bCs w:val="1"/>
          <w:i w:val="0"/>
          <w:iCs w:val="0"/>
          <w:caps w:val="0"/>
          <w:smallCaps w:val="0"/>
          <w:noProof w:val="0"/>
          <w:color w:val="000000" w:themeColor="text1" w:themeTint="FF" w:themeShade="FF"/>
          <w:sz w:val="24"/>
          <w:szCs w:val="24"/>
          <w:lang w:val="en-US"/>
        </w:rPr>
      </w:pPr>
    </w:p>
    <w:p w:rsidR="75EFE2A5" w:rsidP="32F487D4" w:rsidRDefault="75EFE2A5" w14:paraId="50FDE74A" w14:textId="333EDBBB">
      <w:pPr>
        <w:pStyle w:val="SubHead"/>
        <w:spacing w:line="240" w:lineRule="auto"/>
        <w:rPr>
          <w:rFonts w:ascii="Arial" w:hAnsi="Arial" w:eastAsia="Arial" w:cs="Arial"/>
          <w:b w:val="1"/>
          <w:bCs w:val="1"/>
          <w:i w:val="0"/>
          <w:iCs w:val="0"/>
          <w:caps w:val="0"/>
          <w:smallCaps w:val="0"/>
          <w:noProof w:val="0"/>
          <w:color w:val="000000" w:themeColor="text1" w:themeTint="FF" w:themeShade="FF"/>
          <w:sz w:val="24"/>
          <w:szCs w:val="24"/>
          <w:lang w:val="en-US"/>
        </w:rPr>
      </w:pP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 xml:space="preserve">Flexible retirement is an opportunity for an employee to continue working for the Council on reduced hours of work or at a lower grade, while drawing their </w:t>
      </w: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accrued</w:t>
      </w: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 xml:space="preserve"> benefits. They may be eligible to continue paying into the pension scheme for their new position, and build up further retirement benefits, should they wish to do so. Employees who wish to re-join the Pension Scheme should notify the Service Centre in writing. </w:t>
      </w:r>
    </w:p>
    <w:p w:rsidR="32F487D4" w:rsidP="32F487D4" w:rsidRDefault="32F487D4" w14:paraId="6A95ED30" w14:textId="32C2EDE1">
      <w:pPr>
        <w:spacing w:line="240" w:lineRule="auto"/>
        <w:rPr>
          <w:rFonts w:ascii="Arial" w:hAnsi="Arial" w:eastAsia="Arial" w:cs="Arial"/>
          <w:b w:val="1"/>
          <w:bCs w:val="1"/>
          <w:i w:val="0"/>
          <w:iCs w:val="0"/>
          <w:caps w:val="0"/>
          <w:smallCaps w:val="0"/>
          <w:noProof w:val="0"/>
          <w:color w:val="000000" w:themeColor="text1" w:themeTint="FF" w:themeShade="FF"/>
          <w:sz w:val="24"/>
          <w:szCs w:val="24"/>
          <w:lang w:val="en-US"/>
        </w:rPr>
      </w:pPr>
    </w:p>
    <w:p w:rsidR="75EFE2A5" w:rsidP="32F487D4" w:rsidRDefault="75EFE2A5" w14:paraId="64626D8D" w14:textId="647730B8">
      <w:pPr>
        <w:pStyle w:val="SubHead"/>
        <w:spacing w:line="240" w:lineRule="auto"/>
        <w:rPr>
          <w:rFonts w:ascii="Arial" w:hAnsi="Arial" w:eastAsia="Arial" w:cs="Arial"/>
          <w:b w:val="1"/>
          <w:bCs w:val="1"/>
          <w:i w:val="0"/>
          <w:iCs w:val="0"/>
          <w:caps w:val="0"/>
          <w:smallCaps w:val="0"/>
          <w:noProof w:val="0"/>
          <w:color w:val="000000" w:themeColor="text1" w:themeTint="FF" w:themeShade="FF"/>
          <w:sz w:val="24"/>
          <w:szCs w:val="24"/>
          <w:lang w:val="en-US"/>
        </w:rPr>
      </w:pP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 xml:space="preserve">Employees taking flexible retirement before their normal pension age will have a reduction in their pension </w:t>
      </w: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benefits.</w:t>
      </w: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 xml:space="preserve"> Some pre 2008 pension protections </w:t>
      </w:r>
      <w:r w:rsidRPr="32F487D4" w:rsidR="75EFE2A5">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GB"/>
        </w:rPr>
        <w:t>may</w:t>
      </w: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 xml:space="preserve"> apply i.e. the ‘rule of 85’. Employees will need to check their personal circumstances with LPPA to see if they are covered by the ‘rule of 85’. </w:t>
      </w:r>
    </w:p>
    <w:p w:rsidR="32F487D4" w:rsidP="32F487D4" w:rsidRDefault="32F487D4" w14:paraId="10C136F7" w14:textId="47708EC7">
      <w:pPr>
        <w:spacing w:line="240" w:lineRule="auto"/>
        <w:rPr>
          <w:rFonts w:ascii="Arial" w:hAnsi="Arial" w:eastAsia="Arial" w:cs="Arial"/>
          <w:b w:val="1"/>
          <w:bCs w:val="1"/>
          <w:i w:val="0"/>
          <w:iCs w:val="0"/>
          <w:caps w:val="0"/>
          <w:smallCaps w:val="0"/>
          <w:noProof w:val="0"/>
          <w:color w:val="000000" w:themeColor="text1" w:themeTint="FF" w:themeShade="FF"/>
          <w:sz w:val="24"/>
          <w:szCs w:val="24"/>
          <w:lang w:val="en-US"/>
        </w:rPr>
      </w:pPr>
    </w:p>
    <w:p w:rsidR="32F487D4" w:rsidP="32F487D4" w:rsidRDefault="32F487D4" w14:paraId="67C22C7E" w14:textId="14678506">
      <w:pPr>
        <w:spacing w:line="240" w:lineRule="auto"/>
        <w:rPr>
          <w:rFonts w:ascii="Arial" w:hAnsi="Arial" w:eastAsia="Arial" w:cs="Arial"/>
          <w:b w:val="1"/>
          <w:bCs w:val="1"/>
          <w:i w:val="0"/>
          <w:iCs w:val="0"/>
          <w:caps w:val="0"/>
          <w:smallCaps w:val="0"/>
          <w:noProof w:val="0"/>
          <w:color w:val="000000" w:themeColor="text1" w:themeTint="FF" w:themeShade="FF"/>
          <w:sz w:val="24"/>
          <w:szCs w:val="24"/>
          <w:lang w:val="en-US"/>
        </w:rPr>
      </w:pPr>
    </w:p>
    <w:p w:rsidR="75EFE2A5" w:rsidP="32F487D4" w:rsidRDefault="75EFE2A5" w14:paraId="164C834C" w14:textId="11FBA49C">
      <w:pPr>
        <w:pStyle w:val="SubHead"/>
        <w:spacing w:line="240" w:lineRule="auto"/>
        <w:rPr>
          <w:rFonts w:ascii="Arial" w:hAnsi="Arial" w:eastAsia="Arial" w:cs="Arial"/>
          <w:b w:val="1"/>
          <w:bCs w:val="1"/>
          <w:i w:val="0"/>
          <w:iCs w:val="0"/>
          <w:caps w:val="0"/>
          <w:smallCaps w:val="0"/>
          <w:noProof w:val="0"/>
          <w:color w:val="000000" w:themeColor="text1" w:themeTint="FF" w:themeShade="FF"/>
          <w:sz w:val="24"/>
          <w:szCs w:val="24"/>
          <w:lang w:val="en-US"/>
        </w:rPr>
      </w:pP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There cannot be a trial period for flexible retirement, because of the direct impact on pension benefits, business planning and other staff.</w:t>
      </w:r>
    </w:p>
    <w:p w:rsidR="32F487D4" w:rsidP="32F487D4" w:rsidRDefault="32F487D4" w14:paraId="6A90B5AB" w14:textId="03B95690">
      <w:pPr>
        <w:spacing w:line="240" w:lineRule="auto"/>
        <w:rPr>
          <w:rFonts w:ascii="Arial" w:hAnsi="Arial" w:eastAsia="Arial" w:cs="Arial"/>
          <w:b w:val="1"/>
          <w:bCs w:val="1"/>
          <w:i w:val="0"/>
          <w:iCs w:val="0"/>
          <w:caps w:val="0"/>
          <w:smallCaps w:val="0"/>
          <w:noProof w:val="0"/>
          <w:color w:val="000000" w:themeColor="text1" w:themeTint="FF" w:themeShade="FF"/>
          <w:sz w:val="24"/>
          <w:szCs w:val="24"/>
          <w:lang w:val="en-US"/>
        </w:rPr>
      </w:pPr>
    </w:p>
    <w:p w:rsidR="75EFE2A5" w:rsidP="32F487D4" w:rsidRDefault="75EFE2A5" w14:paraId="033FF6FD" w14:textId="0381D566">
      <w:pPr>
        <w:pStyle w:val="SubHead"/>
        <w:spacing w:line="240" w:lineRule="auto"/>
        <w:rPr>
          <w:rFonts w:ascii="Arial" w:hAnsi="Arial" w:eastAsia="Arial" w:cs="Arial"/>
          <w:b w:val="1"/>
          <w:bCs w:val="1"/>
          <w:i w:val="0"/>
          <w:iCs w:val="0"/>
          <w:caps w:val="0"/>
          <w:smallCaps w:val="0"/>
          <w:noProof w:val="0"/>
          <w:color w:val="000000" w:themeColor="text1" w:themeTint="FF" w:themeShade="FF"/>
          <w:sz w:val="24"/>
          <w:szCs w:val="24"/>
          <w:lang w:val="en-US"/>
        </w:rPr>
      </w:pP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In order to</w:t>
      </w: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 xml:space="preserve"> ensure fairness and a consistency of approach to employees, decisions on individual requests will be </w:t>
      </w: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determined</w:t>
      </w: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 xml:space="preserve"> jointly by the Corporate Assistant Director and the Assistant Director People Management, acting on behalf of the Council.</w:t>
      </w:r>
    </w:p>
    <w:p w:rsidR="32F487D4" w:rsidP="32F487D4" w:rsidRDefault="32F487D4" w14:paraId="01577F47" w14:textId="16DFB8D7">
      <w:pPr>
        <w:spacing w:line="240" w:lineRule="auto"/>
        <w:ind w:left="426"/>
        <w:rPr>
          <w:rFonts w:ascii="Arial" w:hAnsi="Arial" w:eastAsia="Arial" w:cs="Arial"/>
          <w:b w:val="1"/>
          <w:bCs w:val="1"/>
          <w:i w:val="0"/>
          <w:iCs w:val="0"/>
          <w:caps w:val="0"/>
          <w:smallCaps w:val="0"/>
          <w:noProof w:val="0"/>
          <w:color w:val="000000" w:themeColor="text1" w:themeTint="FF" w:themeShade="FF"/>
          <w:sz w:val="24"/>
          <w:szCs w:val="24"/>
          <w:lang w:val="en-US"/>
        </w:rPr>
      </w:pPr>
    </w:p>
    <w:p w:rsidR="75EFE2A5" w:rsidP="32F487D4" w:rsidRDefault="75EFE2A5" w14:paraId="189DC3BE" w14:textId="19E17625">
      <w:pPr>
        <w:pStyle w:val="SubHead"/>
        <w:spacing w:line="240" w:lineRule="auto"/>
        <w:ind w:left="567" w:hanging="567"/>
        <w:rPr>
          <w:rFonts w:ascii="Arial" w:hAnsi="Arial" w:eastAsia="Arial" w:cs="Arial"/>
          <w:b w:val="1"/>
          <w:bCs w:val="1"/>
          <w:i w:val="0"/>
          <w:iCs w:val="0"/>
          <w:caps w:val="0"/>
          <w:smallCaps w:val="0"/>
          <w:noProof w:val="0"/>
          <w:color w:val="000000" w:themeColor="text1" w:themeTint="FF" w:themeShade="FF"/>
          <w:sz w:val="24"/>
          <w:szCs w:val="24"/>
          <w:lang w:val="en-US"/>
        </w:rPr>
      </w:pP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In considering the employee’s request they will need to consider the following:</w:t>
      </w:r>
    </w:p>
    <w:p w:rsidR="32F487D4" w:rsidP="32F487D4" w:rsidRDefault="32F487D4" w14:paraId="4A1ABD46" w14:textId="4A7EB2AA">
      <w:pPr>
        <w:spacing w:line="240" w:lineRule="auto"/>
        <w:ind w:left="567" w:hanging="567"/>
        <w:rPr>
          <w:rFonts w:ascii="Arial" w:hAnsi="Arial" w:eastAsia="Arial" w:cs="Arial"/>
          <w:b w:val="1"/>
          <w:bCs w:val="1"/>
          <w:i w:val="0"/>
          <w:iCs w:val="0"/>
          <w:caps w:val="0"/>
          <w:smallCaps w:val="0"/>
          <w:noProof w:val="0"/>
          <w:color w:val="000000" w:themeColor="text1" w:themeTint="FF" w:themeShade="FF"/>
          <w:sz w:val="24"/>
          <w:szCs w:val="24"/>
          <w:lang w:val="en-US"/>
        </w:rPr>
      </w:pPr>
    </w:p>
    <w:p w:rsidR="75EFE2A5" w:rsidP="32F487D4" w:rsidRDefault="75EFE2A5" w14:paraId="2A6704F5" w14:textId="3F21818A">
      <w:pPr>
        <w:pStyle w:val="SubHead"/>
        <w:spacing w:line="240" w:lineRule="auto"/>
        <w:ind w:left="567" w:hanging="567"/>
        <w:rPr>
          <w:rFonts w:ascii="Arial" w:hAnsi="Arial" w:eastAsia="Arial" w:cs="Arial"/>
          <w:b w:val="1"/>
          <w:bCs w:val="1"/>
          <w:i w:val="0"/>
          <w:iCs w:val="0"/>
          <w:caps w:val="0"/>
          <w:smallCaps w:val="0"/>
          <w:noProof w:val="0"/>
          <w:color w:val="000000" w:themeColor="text1" w:themeTint="FF" w:themeShade="FF"/>
          <w:sz w:val="24"/>
          <w:szCs w:val="24"/>
          <w:lang w:val="en-US"/>
        </w:rPr>
      </w:pP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w:t>
      </w:r>
      <w:r>
        <w:tab/>
      </w: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The benefits to the service</w:t>
      </w:r>
    </w:p>
    <w:p w:rsidR="75EFE2A5" w:rsidP="32F487D4" w:rsidRDefault="75EFE2A5" w14:paraId="3D324BC7" w14:textId="1FC9846A">
      <w:pPr>
        <w:pStyle w:val="SubHead"/>
        <w:spacing w:line="240" w:lineRule="auto"/>
        <w:ind w:left="567" w:hanging="567"/>
        <w:rPr>
          <w:rFonts w:ascii="Arial" w:hAnsi="Arial" w:eastAsia="Arial" w:cs="Arial"/>
          <w:b w:val="1"/>
          <w:bCs w:val="1"/>
          <w:i w:val="0"/>
          <w:iCs w:val="0"/>
          <w:caps w:val="0"/>
          <w:smallCaps w:val="0"/>
          <w:noProof w:val="0"/>
          <w:color w:val="000000" w:themeColor="text1" w:themeTint="FF" w:themeShade="FF"/>
          <w:sz w:val="24"/>
          <w:szCs w:val="24"/>
          <w:lang w:val="en-US"/>
        </w:rPr>
      </w:pP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w:t>
      </w:r>
      <w:r>
        <w:tab/>
      </w: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The effect on the ability to meet customer needs</w:t>
      </w:r>
    </w:p>
    <w:p w:rsidR="75EFE2A5" w:rsidP="32F487D4" w:rsidRDefault="75EFE2A5" w14:paraId="2A718700" w14:textId="20D8159F">
      <w:pPr>
        <w:pStyle w:val="SubHead"/>
        <w:spacing w:line="240" w:lineRule="auto"/>
        <w:ind w:left="567" w:hanging="567"/>
        <w:rPr>
          <w:rFonts w:ascii="Arial" w:hAnsi="Arial" w:eastAsia="Arial" w:cs="Arial"/>
          <w:b w:val="1"/>
          <w:bCs w:val="1"/>
          <w:i w:val="0"/>
          <w:iCs w:val="0"/>
          <w:caps w:val="0"/>
          <w:smallCaps w:val="0"/>
          <w:noProof w:val="0"/>
          <w:color w:val="000000" w:themeColor="text1" w:themeTint="FF" w:themeShade="FF"/>
          <w:sz w:val="24"/>
          <w:szCs w:val="24"/>
          <w:lang w:val="en-US"/>
        </w:rPr>
      </w:pP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w:t>
      </w:r>
      <w:r>
        <w:tab/>
      </w: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Workload considerations</w:t>
      </w:r>
    </w:p>
    <w:p w:rsidR="75EFE2A5" w:rsidP="32F487D4" w:rsidRDefault="75EFE2A5" w14:paraId="00F3E793" w14:textId="63C78002">
      <w:pPr>
        <w:pStyle w:val="SubHead"/>
        <w:spacing w:line="240" w:lineRule="auto"/>
        <w:ind w:left="567" w:hanging="567"/>
        <w:rPr>
          <w:rFonts w:ascii="Arial" w:hAnsi="Arial" w:eastAsia="Arial" w:cs="Arial"/>
          <w:b w:val="1"/>
          <w:bCs w:val="1"/>
          <w:i w:val="0"/>
          <w:iCs w:val="0"/>
          <w:caps w:val="0"/>
          <w:smallCaps w:val="0"/>
          <w:noProof w:val="0"/>
          <w:color w:val="000000" w:themeColor="text1" w:themeTint="FF" w:themeShade="FF"/>
          <w:sz w:val="24"/>
          <w:szCs w:val="24"/>
          <w:lang w:val="en-US"/>
        </w:rPr>
      </w:pP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w:t>
      </w:r>
      <w:r>
        <w:tab/>
      </w: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Impact on other staff</w:t>
      </w:r>
    </w:p>
    <w:p w:rsidR="75EFE2A5" w:rsidP="32F487D4" w:rsidRDefault="75EFE2A5" w14:paraId="283DF90F" w14:textId="74A964A1">
      <w:pPr>
        <w:pStyle w:val="SubHead"/>
        <w:spacing w:line="240" w:lineRule="auto"/>
        <w:ind w:left="567" w:hanging="567"/>
        <w:rPr>
          <w:rFonts w:ascii="Arial" w:hAnsi="Arial" w:eastAsia="Arial" w:cs="Arial"/>
          <w:b w:val="1"/>
          <w:bCs w:val="1"/>
          <w:i w:val="0"/>
          <w:iCs w:val="0"/>
          <w:caps w:val="0"/>
          <w:smallCaps w:val="0"/>
          <w:noProof w:val="0"/>
          <w:color w:val="000000" w:themeColor="text1" w:themeTint="FF" w:themeShade="FF"/>
          <w:sz w:val="24"/>
          <w:szCs w:val="24"/>
          <w:lang w:val="en-US"/>
        </w:rPr>
      </w:pP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w:t>
      </w:r>
      <w:r>
        <w:tab/>
      </w: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Resource implications e.g. the capital costs associated with the early release of pension</w:t>
      </w:r>
    </w:p>
    <w:p w:rsidR="75EFE2A5" w:rsidP="32F487D4" w:rsidRDefault="75EFE2A5" w14:paraId="577AFEB1" w14:textId="161B6882">
      <w:pPr>
        <w:pStyle w:val="SubHead"/>
        <w:spacing w:line="240" w:lineRule="auto"/>
        <w:ind w:left="567" w:hanging="567"/>
        <w:rPr>
          <w:rFonts w:ascii="Arial" w:hAnsi="Arial" w:eastAsia="Arial" w:cs="Arial"/>
          <w:b w:val="1"/>
          <w:bCs w:val="1"/>
          <w:i w:val="0"/>
          <w:iCs w:val="0"/>
          <w:caps w:val="0"/>
          <w:smallCaps w:val="0"/>
          <w:noProof w:val="0"/>
          <w:color w:val="000000" w:themeColor="text1" w:themeTint="FF" w:themeShade="FF"/>
          <w:sz w:val="24"/>
          <w:szCs w:val="24"/>
          <w:lang w:val="en-US"/>
        </w:rPr>
      </w:pP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w:t>
      </w:r>
      <w:r>
        <w:tab/>
      </w: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The business case for supporting flexible retirement and a template has been drafted for this purpose (see Appendix E).</w:t>
      </w:r>
    </w:p>
    <w:p w:rsidR="32F487D4" w:rsidP="32F487D4" w:rsidRDefault="32F487D4" w14:paraId="5EE26AAF" w14:textId="18607B62">
      <w:pPr>
        <w:spacing w:line="240" w:lineRule="auto"/>
        <w:rPr>
          <w:rFonts w:ascii="Arial" w:hAnsi="Arial" w:eastAsia="Arial" w:cs="Arial"/>
          <w:b w:val="1"/>
          <w:bCs w:val="1"/>
          <w:i w:val="0"/>
          <w:iCs w:val="0"/>
          <w:caps w:val="0"/>
          <w:smallCaps w:val="0"/>
          <w:noProof w:val="0"/>
          <w:color w:val="000000" w:themeColor="text1" w:themeTint="FF" w:themeShade="FF"/>
          <w:sz w:val="24"/>
          <w:szCs w:val="24"/>
          <w:lang w:val="en-US"/>
        </w:rPr>
      </w:pPr>
    </w:p>
    <w:p w:rsidR="75EFE2A5" w:rsidP="32F487D4" w:rsidRDefault="75EFE2A5" w14:paraId="33031EA9" w14:textId="6D056479">
      <w:pPr>
        <w:pStyle w:val="SubHead"/>
        <w:spacing w:line="240" w:lineRule="auto"/>
        <w:rPr>
          <w:rFonts w:ascii="Arial" w:hAnsi="Arial" w:eastAsia="Arial" w:cs="Arial"/>
          <w:b w:val="1"/>
          <w:bCs w:val="1"/>
          <w:i w:val="0"/>
          <w:iCs w:val="0"/>
          <w:caps w:val="0"/>
          <w:smallCaps w:val="0"/>
          <w:noProof w:val="0"/>
          <w:color w:val="000000" w:themeColor="text1" w:themeTint="FF" w:themeShade="FF"/>
          <w:sz w:val="24"/>
          <w:szCs w:val="24"/>
          <w:lang w:val="en-US"/>
        </w:rPr>
      </w:pP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It is essential that all employees ensure they receive individual pension details from the Pension Administrator prior to making their application.  Due to the potential implications and cost to the organisation, individuals should apply for consideration via their Line Manager. In the first instance the employee may obtain pension estimates through their line manager. In these circumstances they are consenting to their manager(s) (and their advisors) obtaining details of their pension benefits.</w:t>
      </w:r>
    </w:p>
    <w:p w:rsidR="32F487D4" w:rsidP="32F487D4" w:rsidRDefault="32F487D4" w14:paraId="5695A590" w14:textId="32D84F3D">
      <w:pPr>
        <w:spacing w:line="240" w:lineRule="auto"/>
        <w:rPr>
          <w:rFonts w:ascii="Arial" w:hAnsi="Arial" w:eastAsia="Arial" w:cs="Arial"/>
          <w:b w:val="1"/>
          <w:bCs w:val="1"/>
          <w:i w:val="0"/>
          <w:iCs w:val="0"/>
          <w:caps w:val="0"/>
          <w:smallCaps w:val="0"/>
          <w:noProof w:val="0"/>
          <w:color w:val="000000" w:themeColor="text1" w:themeTint="FF" w:themeShade="FF"/>
          <w:sz w:val="24"/>
          <w:szCs w:val="24"/>
          <w:lang w:val="en-US"/>
        </w:rPr>
      </w:pPr>
    </w:p>
    <w:p w:rsidR="75EFE2A5" w:rsidP="32F487D4" w:rsidRDefault="75EFE2A5" w14:paraId="185CA935" w14:textId="1F976DCB">
      <w:pPr>
        <w:pStyle w:val="SubHead"/>
        <w:spacing w:line="240" w:lineRule="auto"/>
        <w:rPr>
          <w:rFonts w:ascii="Arial" w:hAnsi="Arial" w:eastAsia="Arial" w:cs="Arial"/>
          <w:b w:val="1"/>
          <w:bCs w:val="1"/>
          <w:i w:val="0"/>
          <w:iCs w:val="0"/>
          <w:caps w:val="0"/>
          <w:smallCaps w:val="0"/>
          <w:noProof w:val="0"/>
          <w:color w:val="000000" w:themeColor="text1" w:themeTint="FF" w:themeShade="FF"/>
          <w:sz w:val="24"/>
          <w:szCs w:val="24"/>
          <w:lang w:val="en-US"/>
        </w:rPr>
      </w:pPr>
      <w:r w:rsidRPr="32F487D4" w:rsidR="75EFE2A5">
        <w:rPr>
          <w:rFonts w:ascii="Arial" w:hAnsi="Arial" w:eastAsia="Arial" w:cs="Arial"/>
          <w:b w:val="0"/>
          <w:bCs w:val="0"/>
          <w:i w:val="0"/>
          <w:iCs w:val="0"/>
          <w:caps w:val="0"/>
          <w:smallCaps w:val="0"/>
          <w:noProof w:val="0"/>
          <w:color w:val="000000" w:themeColor="text1" w:themeTint="FF" w:themeShade="FF"/>
          <w:sz w:val="24"/>
          <w:szCs w:val="24"/>
          <w:lang w:val="en-GB"/>
        </w:rPr>
        <w:t>Any extension of time limits is to be by agreement of the Line Manager and the individual.  If this cannot be agreed, the request for Flexible Retirement will be considered on the basis of the information available at the time.</w:t>
      </w:r>
    </w:p>
    <w:p w:rsidR="32F487D4" w:rsidP="32F487D4" w:rsidRDefault="32F487D4" w14:paraId="6398E04A" w14:textId="623B851D">
      <w:pPr>
        <w:spacing w:line="240" w:lineRule="auto"/>
        <w:ind w:firstLine="709"/>
        <w:rPr>
          <w:rFonts w:ascii="Arial" w:hAnsi="Arial" w:eastAsia="Arial" w:cs="Arial"/>
          <w:b w:val="1"/>
          <w:bCs w:val="1"/>
          <w:i w:val="0"/>
          <w:iCs w:val="0"/>
          <w:caps w:val="0"/>
          <w:smallCaps w:val="0"/>
          <w:noProof w:val="0"/>
          <w:color w:val="31849B"/>
          <w:sz w:val="24"/>
          <w:szCs w:val="24"/>
          <w:lang w:val="en-US"/>
        </w:rPr>
      </w:pPr>
    </w:p>
    <w:p w:rsidR="7D9669CD" w:rsidP="32F487D4" w:rsidRDefault="7D9669CD" w14:paraId="34CDE10D" w14:textId="4E53E1DF">
      <w:pPr>
        <w:pStyle w:val="SubHead"/>
        <w:spacing w:line="240" w:lineRule="auto"/>
        <w:ind w:left="851" w:hanging="851"/>
        <w:rPr>
          <w:rFonts w:ascii="Arial Black" w:hAnsi="Arial Black" w:eastAsia="Arial Black" w:cs="Arial Black"/>
          <w:b w:val="1"/>
          <w:bCs w:val="1"/>
          <w:i w:val="0"/>
          <w:iCs w:val="0"/>
          <w:caps w:val="0"/>
          <w:smallCaps w:val="0"/>
          <w:noProof w:val="0"/>
          <w:color w:val="00A04E"/>
          <w:sz w:val="28"/>
          <w:szCs w:val="28"/>
          <w:lang w:val="en-US"/>
        </w:rPr>
      </w:pPr>
      <w:r w:rsidRPr="32F487D4" w:rsidR="7D9669CD">
        <w:rPr>
          <w:rFonts w:ascii="Arial Black" w:hAnsi="Arial Black" w:eastAsia="Arial Black" w:cs="Arial Black"/>
          <w:b w:val="0"/>
          <w:bCs w:val="0"/>
          <w:i w:val="0"/>
          <w:iCs w:val="0"/>
          <w:caps w:val="0"/>
          <w:smallCaps w:val="0"/>
          <w:noProof w:val="0"/>
          <w:color w:val="00A04E"/>
          <w:sz w:val="28"/>
          <w:szCs w:val="28"/>
          <w:lang w:val="en-GB"/>
        </w:rPr>
        <w:t>Outcomes and Measures</w:t>
      </w:r>
    </w:p>
    <w:p w:rsidR="32F487D4" w:rsidP="32F487D4" w:rsidRDefault="32F487D4" w14:paraId="6B5A06C6" w14:textId="5DD3DFD4">
      <w:pPr>
        <w:spacing w:line="240" w:lineRule="auto"/>
        <w:rPr>
          <w:rFonts w:ascii="Arial" w:hAnsi="Arial" w:eastAsia="Arial" w:cs="Arial"/>
          <w:b w:val="1"/>
          <w:bCs w:val="1"/>
          <w:i w:val="0"/>
          <w:iCs w:val="0"/>
          <w:caps w:val="0"/>
          <w:smallCaps w:val="0"/>
          <w:noProof w:val="0"/>
          <w:color w:val="000000" w:themeColor="text1" w:themeTint="FF" w:themeShade="FF"/>
          <w:sz w:val="24"/>
          <w:szCs w:val="24"/>
          <w:lang w:val="en-US"/>
        </w:rPr>
      </w:pPr>
    </w:p>
    <w:p w:rsidR="7D9669CD" w:rsidP="32F487D4" w:rsidRDefault="7D9669CD" w14:paraId="24D6F582" w14:textId="24251542">
      <w:pPr>
        <w:pStyle w:val="SubHead"/>
        <w:spacing w:line="240" w:lineRule="auto"/>
        <w:rPr>
          <w:rFonts w:ascii="Arial" w:hAnsi="Arial" w:eastAsia="Arial" w:cs="Arial"/>
          <w:b w:val="1"/>
          <w:bCs w:val="1"/>
          <w:i w:val="0"/>
          <w:iCs w:val="0"/>
          <w:caps w:val="0"/>
          <w:smallCaps w:val="0"/>
          <w:noProof w:val="0"/>
          <w:color w:val="000000" w:themeColor="text1" w:themeTint="FF" w:themeShade="FF"/>
          <w:sz w:val="24"/>
          <w:szCs w:val="24"/>
          <w:lang w:val="en-US"/>
        </w:rPr>
      </w:pPr>
      <w:r w:rsidRPr="32F487D4" w:rsidR="7D9669CD">
        <w:rPr>
          <w:rFonts w:ascii="Arial" w:hAnsi="Arial" w:eastAsia="Arial" w:cs="Arial"/>
          <w:b w:val="0"/>
          <w:bCs w:val="0"/>
          <w:i w:val="0"/>
          <w:iCs w:val="0"/>
          <w:caps w:val="0"/>
          <w:smallCaps w:val="0"/>
          <w:noProof w:val="0"/>
          <w:color w:val="000000" w:themeColor="text1" w:themeTint="FF" w:themeShade="FF"/>
          <w:sz w:val="24"/>
          <w:szCs w:val="24"/>
          <w:lang w:val="en-GB"/>
        </w:rPr>
        <w:t>The effective application of this policy and its principles will be determined by the following measures.</w:t>
      </w:r>
    </w:p>
    <w:p w:rsidR="32F487D4" w:rsidP="32F487D4" w:rsidRDefault="32F487D4" w14:paraId="2E1BAC88" w14:textId="779F765B">
      <w:pPr>
        <w:spacing w:line="240" w:lineRule="auto"/>
        <w:ind w:left="360"/>
        <w:rPr>
          <w:rFonts w:ascii="Arial" w:hAnsi="Arial" w:eastAsia="Arial" w:cs="Arial"/>
          <w:b w:val="1"/>
          <w:bCs w:val="1"/>
          <w:i w:val="0"/>
          <w:iCs w:val="0"/>
          <w:caps w:val="0"/>
          <w:smallCaps w:val="0"/>
          <w:noProof w:val="0"/>
          <w:color w:val="000000" w:themeColor="text1" w:themeTint="FF" w:themeShade="FF"/>
          <w:sz w:val="24"/>
          <w:szCs w:val="24"/>
          <w:lang w:val="en-US"/>
        </w:rPr>
      </w:pPr>
    </w:p>
    <w:tbl>
      <w:tblPr>
        <w:tblStyle w:val="TableGrid"/>
        <w:tblW w:w="0" w:type="auto"/>
        <w:tblInd w:w="105" w:type="dxa"/>
        <w:tblBorders>
          <w:top w:val="single" w:sz="6"/>
          <w:left w:val="single" w:sz="6"/>
          <w:bottom w:val="single" w:sz="6"/>
          <w:right w:val="single" w:sz="6"/>
        </w:tblBorders>
        <w:tblLayout w:type="fixed"/>
        <w:tblLook w:val="04A0" w:firstRow="1" w:lastRow="0" w:firstColumn="1" w:lastColumn="0" w:noHBand="0" w:noVBand="1"/>
      </w:tblPr>
      <w:tblGrid>
        <w:gridCol w:w="4680"/>
        <w:gridCol w:w="4680"/>
      </w:tblGrid>
      <w:tr w:rsidR="32F487D4" w:rsidTr="32F487D4" w14:paraId="4EC774D0">
        <w:trPr>
          <w:trHeight w:val="300"/>
        </w:trPr>
        <w:tc>
          <w:tcPr>
            <w:tcW w:w="4680" w:type="dxa"/>
            <w:shd w:val="clear" w:color="auto" w:fill="00A04E"/>
            <w:tcMar>
              <w:left w:w="105" w:type="dxa"/>
              <w:right w:w="105" w:type="dxa"/>
            </w:tcMar>
            <w:vAlign w:val="top"/>
          </w:tcPr>
          <w:p w:rsidR="32F487D4" w:rsidP="32F487D4" w:rsidRDefault="32F487D4" w14:paraId="2FD409B1" w14:textId="728DE41D">
            <w:pPr>
              <w:pStyle w:val="SubHead"/>
              <w:spacing w:line="240" w:lineRule="auto"/>
              <w:jc w:val="center"/>
              <w:rPr>
                <w:rFonts w:ascii="Arial" w:hAnsi="Arial" w:eastAsia="Arial" w:cs="Arial"/>
                <w:b w:val="1"/>
                <w:bCs w:val="1"/>
                <w:i w:val="0"/>
                <w:iCs w:val="0"/>
                <w:color w:val="FFFFFF" w:themeColor="background1" w:themeTint="FF" w:themeShade="FF"/>
                <w:sz w:val="24"/>
                <w:szCs w:val="24"/>
              </w:rPr>
            </w:pPr>
            <w:r w:rsidRPr="32F487D4" w:rsidR="32F487D4">
              <w:rPr>
                <w:rFonts w:ascii="Arial" w:hAnsi="Arial" w:eastAsia="Arial" w:cs="Arial"/>
                <w:b w:val="1"/>
                <w:bCs w:val="1"/>
                <w:i w:val="0"/>
                <w:iCs w:val="0"/>
                <w:color w:val="FFFFFF" w:themeColor="background1" w:themeTint="FF" w:themeShade="FF"/>
                <w:sz w:val="24"/>
                <w:szCs w:val="24"/>
                <w:lang w:val="en-GB"/>
              </w:rPr>
              <w:t>OUTCOME</w:t>
            </w:r>
          </w:p>
        </w:tc>
        <w:tc>
          <w:tcPr>
            <w:tcW w:w="4680" w:type="dxa"/>
            <w:shd w:val="clear" w:color="auto" w:fill="00A04E"/>
            <w:tcMar>
              <w:left w:w="105" w:type="dxa"/>
              <w:right w:w="105" w:type="dxa"/>
            </w:tcMar>
            <w:vAlign w:val="top"/>
          </w:tcPr>
          <w:p w:rsidR="32F487D4" w:rsidP="32F487D4" w:rsidRDefault="32F487D4" w14:paraId="1173FD9D" w14:textId="2B3AD167">
            <w:pPr>
              <w:pStyle w:val="SubHead"/>
              <w:spacing w:line="240" w:lineRule="auto"/>
              <w:jc w:val="center"/>
              <w:rPr>
                <w:rFonts w:ascii="Arial" w:hAnsi="Arial" w:eastAsia="Arial" w:cs="Arial"/>
                <w:b w:val="1"/>
                <w:bCs w:val="1"/>
                <w:i w:val="0"/>
                <w:iCs w:val="0"/>
                <w:color w:val="FFFFFF" w:themeColor="background1" w:themeTint="FF" w:themeShade="FF"/>
                <w:sz w:val="24"/>
                <w:szCs w:val="24"/>
              </w:rPr>
            </w:pPr>
            <w:r w:rsidRPr="32F487D4" w:rsidR="32F487D4">
              <w:rPr>
                <w:rFonts w:ascii="Arial" w:hAnsi="Arial" w:eastAsia="Arial" w:cs="Arial"/>
                <w:b w:val="1"/>
                <w:bCs w:val="1"/>
                <w:i w:val="0"/>
                <w:iCs w:val="0"/>
                <w:color w:val="FFFFFF" w:themeColor="background1" w:themeTint="FF" w:themeShade="FF"/>
                <w:sz w:val="24"/>
                <w:szCs w:val="24"/>
                <w:lang w:val="en-GB"/>
              </w:rPr>
              <w:t>MEASURES</w:t>
            </w:r>
          </w:p>
        </w:tc>
      </w:tr>
      <w:tr w:rsidR="32F487D4" w:rsidTr="32F487D4" w14:paraId="2DA0082A">
        <w:trPr>
          <w:trHeight w:val="300"/>
        </w:trPr>
        <w:tc>
          <w:tcPr>
            <w:tcW w:w="4680" w:type="dxa"/>
            <w:tcMar>
              <w:left w:w="105" w:type="dxa"/>
              <w:right w:w="105" w:type="dxa"/>
            </w:tcMar>
            <w:vAlign w:val="top"/>
          </w:tcPr>
          <w:p w:rsidR="32F487D4" w:rsidP="32F487D4" w:rsidRDefault="32F487D4" w14:paraId="569BAE74" w14:textId="3A7F30D6">
            <w:pPr>
              <w:pStyle w:val="SubHead"/>
              <w:spacing w:line="240" w:lineRule="auto"/>
              <w:rPr>
                <w:rFonts w:ascii="Arial" w:hAnsi="Arial" w:eastAsia="Arial" w:cs="Arial"/>
                <w:b w:val="1"/>
                <w:bCs w:val="1"/>
                <w:i w:val="0"/>
                <w:iCs w:val="0"/>
                <w:sz w:val="24"/>
                <w:szCs w:val="24"/>
              </w:rPr>
            </w:pPr>
            <w:r w:rsidRPr="32F487D4" w:rsidR="32F487D4">
              <w:rPr>
                <w:rFonts w:ascii="Arial" w:hAnsi="Arial" w:eastAsia="Arial" w:cs="Arial"/>
                <w:b w:val="0"/>
                <w:bCs w:val="0"/>
                <w:i w:val="0"/>
                <w:iCs w:val="0"/>
                <w:sz w:val="24"/>
                <w:szCs w:val="24"/>
                <w:lang w:val="en-GB"/>
              </w:rPr>
              <w:t>Effective workforce demographics to meet business needs</w:t>
            </w:r>
          </w:p>
        </w:tc>
        <w:tc>
          <w:tcPr>
            <w:tcW w:w="4680" w:type="dxa"/>
            <w:tcMar>
              <w:left w:w="105" w:type="dxa"/>
              <w:right w:w="105" w:type="dxa"/>
            </w:tcMar>
            <w:vAlign w:val="top"/>
          </w:tcPr>
          <w:p w:rsidR="32F487D4" w:rsidP="32F487D4" w:rsidRDefault="32F487D4" w14:paraId="2656521C" w14:textId="6ABE0E8C">
            <w:pPr>
              <w:pStyle w:val="SubHead"/>
              <w:spacing w:line="240" w:lineRule="auto"/>
              <w:rPr>
                <w:rFonts w:ascii="Arial" w:hAnsi="Arial" w:eastAsia="Arial" w:cs="Arial"/>
                <w:b w:val="1"/>
                <w:bCs w:val="1"/>
                <w:i w:val="0"/>
                <w:iCs w:val="0"/>
                <w:sz w:val="24"/>
                <w:szCs w:val="24"/>
              </w:rPr>
            </w:pPr>
            <w:r w:rsidRPr="32F487D4" w:rsidR="32F487D4">
              <w:rPr>
                <w:rFonts w:ascii="Arial" w:hAnsi="Arial" w:eastAsia="Arial" w:cs="Arial"/>
                <w:b w:val="0"/>
                <w:bCs w:val="0"/>
                <w:i w:val="0"/>
                <w:iCs w:val="0"/>
                <w:sz w:val="24"/>
                <w:szCs w:val="24"/>
                <w:lang w:val="en-GB"/>
              </w:rPr>
              <w:t>Delivery of service provision</w:t>
            </w:r>
          </w:p>
        </w:tc>
      </w:tr>
      <w:tr w:rsidR="32F487D4" w:rsidTr="32F487D4" w14:paraId="6967A914">
        <w:trPr>
          <w:trHeight w:val="300"/>
        </w:trPr>
        <w:tc>
          <w:tcPr>
            <w:tcW w:w="4680" w:type="dxa"/>
            <w:tcMar>
              <w:left w:w="105" w:type="dxa"/>
              <w:right w:w="105" w:type="dxa"/>
            </w:tcMar>
            <w:vAlign w:val="top"/>
          </w:tcPr>
          <w:p w:rsidR="32F487D4" w:rsidP="32F487D4" w:rsidRDefault="32F487D4" w14:paraId="43A07DDE" w14:textId="1832E503">
            <w:pPr>
              <w:pStyle w:val="SubHead"/>
              <w:spacing w:line="240" w:lineRule="auto"/>
              <w:rPr>
                <w:rFonts w:ascii="Arial" w:hAnsi="Arial" w:eastAsia="Arial" w:cs="Arial"/>
                <w:b w:val="1"/>
                <w:bCs w:val="1"/>
                <w:i w:val="0"/>
                <w:iCs w:val="0"/>
                <w:sz w:val="24"/>
                <w:szCs w:val="24"/>
              </w:rPr>
            </w:pPr>
            <w:r w:rsidRPr="32F487D4" w:rsidR="32F487D4">
              <w:rPr>
                <w:rFonts w:ascii="Arial" w:hAnsi="Arial" w:eastAsia="Arial" w:cs="Arial"/>
                <w:b w:val="0"/>
                <w:bCs w:val="0"/>
                <w:i w:val="0"/>
                <w:iCs w:val="0"/>
                <w:sz w:val="24"/>
                <w:szCs w:val="24"/>
                <w:lang w:val="en-GB"/>
              </w:rPr>
              <w:t>Increased employee retention</w:t>
            </w:r>
          </w:p>
        </w:tc>
        <w:tc>
          <w:tcPr>
            <w:tcW w:w="4680" w:type="dxa"/>
            <w:tcMar>
              <w:left w:w="105" w:type="dxa"/>
              <w:right w:w="105" w:type="dxa"/>
            </w:tcMar>
            <w:vAlign w:val="top"/>
          </w:tcPr>
          <w:p w:rsidR="32F487D4" w:rsidP="32F487D4" w:rsidRDefault="32F487D4" w14:paraId="7B76ADAB" w14:textId="6048CE87">
            <w:pPr>
              <w:pStyle w:val="SubHead"/>
              <w:spacing w:line="240" w:lineRule="auto"/>
              <w:rPr>
                <w:rFonts w:ascii="Arial" w:hAnsi="Arial" w:eastAsia="Arial" w:cs="Arial"/>
                <w:b w:val="1"/>
                <w:bCs w:val="1"/>
                <w:i w:val="0"/>
                <w:iCs w:val="0"/>
                <w:sz w:val="24"/>
                <w:szCs w:val="24"/>
              </w:rPr>
            </w:pPr>
            <w:r w:rsidRPr="32F487D4" w:rsidR="32F487D4">
              <w:rPr>
                <w:rFonts w:ascii="Arial" w:hAnsi="Arial" w:eastAsia="Arial" w:cs="Arial"/>
                <w:b w:val="0"/>
                <w:bCs w:val="0"/>
                <w:i w:val="0"/>
                <w:iCs w:val="0"/>
                <w:sz w:val="24"/>
                <w:szCs w:val="24"/>
                <w:lang w:val="en-GB"/>
              </w:rPr>
              <w:t>HR Management Information</w:t>
            </w:r>
          </w:p>
        </w:tc>
      </w:tr>
      <w:tr w:rsidR="32F487D4" w:rsidTr="32F487D4" w14:paraId="5EBC1535">
        <w:trPr>
          <w:trHeight w:val="300"/>
        </w:trPr>
        <w:tc>
          <w:tcPr>
            <w:tcW w:w="4680" w:type="dxa"/>
            <w:tcMar>
              <w:left w:w="105" w:type="dxa"/>
              <w:right w:w="105" w:type="dxa"/>
            </w:tcMar>
            <w:vAlign w:val="top"/>
          </w:tcPr>
          <w:p w:rsidR="32F487D4" w:rsidP="32F487D4" w:rsidRDefault="32F487D4" w14:paraId="0F5D7666" w14:textId="38F548AB">
            <w:pPr>
              <w:pStyle w:val="SubHead"/>
              <w:spacing w:line="240" w:lineRule="auto"/>
              <w:rPr>
                <w:rFonts w:ascii="Arial" w:hAnsi="Arial" w:eastAsia="Arial" w:cs="Arial"/>
                <w:b w:val="1"/>
                <w:bCs w:val="1"/>
                <w:i w:val="0"/>
                <w:iCs w:val="0"/>
                <w:sz w:val="24"/>
                <w:szCs w:val="24"/>
              </w:rPr>
            </w:pPr>
            <w:r w:rsidRPr="32F487D4" w:rsidR="32F487D4">
              <w:rPr>
                <w:rFonts w:ascii="Arial" w:hAnsi="Arial" w:eastAsia="Arial" w:cs="Arial"/>
                <w:b w:val="0"/>
                <w:bCs w:val="0"/>
                <w:i w:val="0"/>
                <w:iCs w:val="0"/>
                <w:sz w:val="24"/>
                <w:szCs w:val="24"/>
                <w:lang w:val="en-GB"/>
              </w:rPr>
              <w:t>Consistency of Application</w:t>
            </w:r>
          </w:p>
        </w:tc>
        <w:tc>
          <w:tcPr>
            <w:tcW w:w="4680" w:type="dxa"/>
            <w:tcMar>
              <w:left w:w="105" w:type="dxa"/>
              <w:right w:w="105" w:type="dxa"/>
            </w:tcMar>
            <w:vAlign w:val="top"/>
          </w:tcPr>
          <w:p w:rsidR="32F487D4" w:rsidP="32F487D4" w:rsidRDefault="32F487D4" w14:paraId="121CC1F0" w14:textId="20729CD1">
            <w:pPr>
              <w:pStyle w:val="SubHead"/>
              <w:spacing w:line="240" w:lineRule="auto"/>
              <w:rPr>
                <w:rFonts w:ascii="Arial" w:hAnsi="Arial" w:eastAsia="Arial" w:cs="Arial"/>
                <w:b w:val="1"/>
                <w:bCs w:val="1"/>
                <w:i w:val="0"/>
                <w:iCs w:val="0"/>
                <w:sz w:val="24"/>
                <w:szCs w:val="24"/>
              </w:rPr>
            </w:pPr>
            <w:r w:rsidRPr="32F487D4" w:rsidR="32F487D4">
              <w:rPr>
                <w:rFonts w:ascii="Arial" w:hAnsi="Arial" w:eastAsia="Arial" w:cs="Arial"/>
                <w:b w:val="0"/>
                <w:bCs w:val="0"/>
                <w:i w:val="0"/>
                <w:iCs w:val="0"/>
                <w:sz w:val="24"/>
                <w:szCs w:val="24"/>
                <w:lang w:val="en-GB"/>
              </w:rPr>
              <w:t>Reduction in appeals</w:t>
            </w:r>
          </w:p>
        </w:tc>
      </w:tr>
    </w:tbl>
    <w:p w:rsidR="32F487D4" w:rsidP="32F487D4" w:rsidRDefault="32F487D4" w14:paraId="3A792D61" w14:textId="13FFC8B1">
      <w:pPr>
        <w:pStyle w:val="SubHead"/>
        <w:spacing w:line="240" w:lineRule="auto"/>
        <w:ind w:left="567" w:hanging="567"/>
        <w:rPr>
          <w:rFonts w:ascii="Arial Black" w:hAnsi="Arial Black" w:eastAsia="Arial Black" w:cs="Arial Black"/>
          <w:b w:val="0"/>
          <w:bCs w:val="0"/>
          <w:i w:val="0"/>
          <w:iCs w:val="0"/>
          <w:caps w:val="0"/>
          <w:smallCaps w:val="0"/>
          <w:noProof w:val="0"/>
          <w:color w:val="31849B"/>
          <w:sz w:val="28"/>
          <w:szCs w:val="28"/>
          <w:lang w:val="en-GB"/>
        </w:rPr>
      </w:pPr>
    </w:p>
    <w:p w:rsidR="44FBEE0B" w:rsidP="32F487D4" w:rsidRDefault="44FBEE0B" w14:paraId="45536245" w14:textId="1DF944C7">
      <w:pPr>
        <w:pStyle w:val="SubHead"/>
        <w:spacing w:line="240" w:lineRule="auto"/>
        <w:ind w:left="567" w:hanging="567"/>
        <w:rPr>
          <w:rFonts w:ascii="Arial Black" w:hAnsi="Arial Black" w:eastAsia="Arial Black" w:cs="Arial Black"/>
          <w:b w:val="1"/>
          <w:bCs w:val="1"/>
          <w:i w:val="0"/>
          <w:iCs w:val="0"/>
          <w:caps w:val="0"/>
          <w:smallCaps w:val="0"/>
          <w:noProof w:val="0"/>
          <w:color w:val="00A04E"/>
          <w:sz w:val="28"/>
          <w:szCs w:val="28"/>
          <w:lang w:val="en-US"/>
        </w:rPr>
      </w:pPr>
      <w:r w:rsidRPr="32F487D4" w:rsidR="44FBEE0B">
        <w:rPr>
          <w:rFonts w:ascii="Arial Black" w:hAnsi="Arial Black" w:eastAsia="Arial Black" w:cs="Arial Black"/>
          <w:b w:val="1"/>
          <w:bCs w:val="1"/>
          <w:i w:val="0"/>
          <w:iCs w:val="0"/>
          <w:caps w:val="0"/>
          <w:smallCaps w:val="0"/>
          <w:noProof w:val="0"/>
          <w:color w:val="00A04E"/>
          <w:sz w:val="28"/>
          <w:szCs w:val="28"/>
          <w:lang w:val="en-GB"/>
        </w:rPr>
        <w:t xml:space="preserve">Evaluation and Review </w:t>
      </w:r>
    </w:p>
    <w:p w:rsidR="32F487D4" w:rsidP="32F487D4" w:rsidRDefault="32F487D4" w14:paraId="05DFDF2E" w14:textId="6B3F910B">
      <w:pPr>
        <w:spacing w:line="264" w:lineRule="auto"/>
        <w:rPr>
          <w:rFonts w:ascii="Arial" w:hAnsi="Arial" w:eastAsia="Arial" w:cs="Arial"/>
          <w:b w:val="0"/>
          <w:bCs w:val="0"/>
          <w:i w:val="0"/>
          <w:iCs w:val="0"/>
          <w:caps w:val="0"/>
          <w:smallCaps w:val="0"/>
          <w:noProof w:val="0"/>
          <w:color w:val="000000" w:themeColor="text1" w:themeTint="FF" w:themeShade="FF"/>
          <w:sz w:val="20"/>
          <w:szCs w:val="20"/>
          <w:lang w:val="en-US"/>
        </w:rPr>
      </w:pPr>
    </w:p>
    <w:p w:rsidR="44FBEE0B" w:rsidP="32F487D4" w:rsidRDefault="44FBEE0B" w14:paraId="7C34EC66" w14:textId="3F463FA9">
      <w:pPr>
        <w:spacing w:line="264"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2F487D4" w:rsidR="44FBEE0B">
        <w:rPr>
          <w:rFonts w:ascii="Arial" w:hAnsi="Arial" w:eastAsia="Arial" w:cs="Arial"/>
          <w:b w:val="0"/>
          <w:bCs w:val="0"/>
          <w:i w:val="0"/>
          <w:iCs w:val="0"/>
          <w:caps w:val="0"/>
          <w:smallCaps w:val="0"/>
          <w:noProof w:val="0"/>
          <w:color w:val="000000" w:themeColor="text1" w:themeTint="FF" w:themeShade="FF"/>
          <w:sz w:val="24"/>
          <w:szCs w:val="24"/>
          <w:lang w:val="en-GB"/>
        </w:rPr>
        <w:t>This Policy and supporting Procedure and Guidelines will be evaluated at regular intervals using the outcomes and measures set out above.</w:t>
      </w:r>
    </w:p>
    <w:p w:rsidR="32F487D4" w:rsidP="32F487D4" w:rsidRDefault="32F487D4" w14:paraId="297D58C3" w14:textId="76C4BB9B">
      <w:pPr>
        <w:spacing w:line="264"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44FBEE0B" w:rsidP="32F487D4" w:rsidRDefault="44FBEE0B" w14:paraId="0C154691" w14:textId="30409D03">
      <w:pPr>
        <w:spacing w:line="264"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2F487D4" w:rsidR="44FBEE0B">
        <w:rPr>
          <w:rFonts w:ascii="Arial" w:hAnsi="Arial" w:eastAsia="Arial" w:cs="Arial"/>
          <w:b w:val="0"/>
          <w:bCs w:val="0"/>
          <w:i w:val="0"/>
          <w:iCs w:val="0"/>
          <w:caps w:val="0"/>
          <w:smallCaps w:val="0"/>
          <w:noProof w:val="0"/>
          <w:color w:val="000000" w:themeColor="text1" w:themeTint="FF" w:themeShade="FF"/>
          <w:sz w:val="24"/>
          <w:szCs w:val="24"/>
          <w:lang w:val="en-GB"/>
        </w:rPr>
        <w:t>The performance management framework of National Indicators and Corporate Performance Indicators will be utilised where appropriate to evaluate and implement appropriate action if required.</w:t>
      </w:r>
    </w:p>
    <w:p w:rsidR="32F487D4" w:rsidP="32F487D4" w:rsidRDefault="32F487D4" w14:paraId="2B5CB2B6" w14:textId="769D44BB">
      <w:pPr>
        <w:spacing w:line="264"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44FBEE0B" w:rsidP="32F487D4" w:rsidRDefault="44FBEE0B" w14:paraId="4F865138" w14:textId="58069877">
      <w:pPr>
        <w:spacing w:line="264"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2F487D4" w:rsidR="44FBEE0B">
        <w:rPr>
          <w:rFonts w:ascii="Arial" w:hAnsi="Arial" w:eastAsia="Arial" w:cs="Arial"/>
          <w:b w:val="0"/>
          <w:bCs w:val="0"/>
          <w:i w:val="0"/>
          <w:iCs w:val="0"/>
          <w:caps w:val="0"/>
          <w:smallCaps w:val="0"/>
          <w:noProof w:val="0"/>
          <w:color w:val="000000" w:themeColor="text1" w:themeTint="FF" w:themeShade="FF"/>
          <w:sz w:val="24"/>
          <w:szCs w:val="24"/>
          <w:lang w:val="en-GB"/>
        </w:rPr>
        <w:t>The People Management team will issue procedures and guidelines to enact this Policy and these documents will have the force of this Policy.</w:t>
      </w:r>
    </w:p>
    <w:p w:rsidR="32F487D4" w:rsidP="32F487D4" w:rsidRDefault="32F487D4" w14:paraId="4B3C247E" w14:textId="5972D2FD">
      <w:pPr>
        <w:spacing w:line="264"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44FBEE0B" w:rsidP="32F487D4" w:rsidRDefault="44FBEE0B" w14:paraId="1630E4F6" w14:textId="46486924">
      <w:pPr>
        <w:spacing w:line="264"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2F487D4" w:rsidR="44FBEE0B">
        <w:rPr>
          <w:rFonts w:ascii="Arial" w:hAnsi="Arial" w:eastAsia="Arial" w:cs="Arial"/>
          <w:b w:val="0"/>
          <w:bCs w:val="0"/>
          <w:i w:val="0"/>
          <w:iCs w:val="0"/>
          <w:caps w:val="0"/>
          <w:smallCaps w:val="0"/>
          <w:noProof w:val="0"/>
          <w:color w:val="000000" w:themeColor="text1" w:themeTint="FF" w:themeShade="FF"/>
          <w:sz w:val="24"/>
          <w:szCs w:val="24"/>
          <w:lang w:val="en-GB"/>
        </w:rPr>
        <w:t>In order to ensure continuous improvement, the relevant Assistant Director has delegated authority to make amendments to the Procedure and Guidelines to meet best practice and legislative requirements.</w:t>
      </w:r>
    </w:p>
    <w:p w:rsidR="32F487D4" w:rsidP="32F487D4" w:rsidRDefault="32F487D4" w14:paraId="0A488D28" w14:textId="6393A94D">
      <w:pPr>
        <w:spacing w:line="264"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44FBEE0B" w:rsidP="32F487D4" w:rsidRDefault="44FBEE0B" w14:paraId="5C397F5F" w14:textId="07BF7A11">
      <w:pPr>
        <w:tabs>
          <w:tab w:val="left" w:leader="none" w:pos="426"/>
        </w:tabs>
        <w:spacing w:line="264"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2F487D4" w:rsidR="44FBEE0B">
        <w:rPr>
          <w:rFonts w:ascii="Arial" w:hAnsi="Arial" w:eastAsia="Arial" w:cs="Arial"/>
          <w:b w:val="0"/>
          <w:bCs w:val="0"/>
          <w:i w:val="0"/>
          <w:iCs w:val="0"/>
          <w:caps w:val="0"/>
          <w:smallCaps w:val="0"/>
          <w:noProof w:val="0"/>
          <w:color w:val="000000" w:themeColor="text1" w:themeTint="FF" w:themeShade="FF"/>
          <w:sz w:val="24"/>
          <w:szCs w:val="24"/>
          <w:lang w:val="en-GB"/>
        </w:rPr>
        <w:t>This policy and supporting procedures and guidelines will be reviewed on an annual basis in the light of operating experience, changes in legislation, financial constraints facing the Council, or changes in Pension Regulations.</w:t>
      </w:r>
    </w:p>
    <w:p w:rsidR="32F487D4" w:rsidP="32F487D4" w:rsidRDefault="32F487D4" w14:paraId="2557FBD9" w14:textId="077E3AB8">
      <w:pPr>
        <w:pStyle w:val="Normal"/>
        <w:rPr>
          <w:rFonts w:ascii="Arial Black" w:hAnsi="Arial Black" w:eastAsia="Arial Black" w:cs="Arial Black"/>
          <w:b w:val="1"/>
          <w:bCs w:val="1"/>
          <w:color w:val="00A04E"/>
          <w:sz w:val="28"/>
          <w:szCs w:val="28"/>
        </w:rPr>
      </w:pPr>
    </w:p>
    <w:sectPr>
      <w:pgSz w:w="12240" w:h="15840" w:orient="portrait"/>
      <w:pgMar w:top="1440" w:right="1440" w:bottom="1440" w:left="1440" w:header="720" w:footer="720" w:gutter="0"/>
      <w:cols w:space="720"/>
      <w:docGrid w:linePitch="360"/>
      <w:headerReference w:type="default" r:id="Rc5ee8213c48f4745"/>
      <w:footerReference w:type="default" r:id="Ra79e2a4d494548d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F487D4" w:rsidTr="32F487D4" w14:paraId="7F74C1C5">
      <w:trPr>
        <w:trHeight w:val="300"/>
      </w:trPr>
      <w:tc>
        <w:tcPr>
          <w:tcW w:w="3120" w:type="dxa"/>
          <w:tcMar/>
        </w:tcPr>
        <w:p w:rsidR="32F487D4" w:rsidP="32F487D4" w:rsidRDefault="32F487D4" w14:paraId="3A5349DC" w14:textId="55C99322">
          <w:pPr>
            <w:pStyle w:val="Header"/>
            <w:bidi w:val="0"/>
            <w:ind w:left="-115"/>
            <w:jc w:val="left"/>
          </w:pPr>
        </w:p>
      </w:tc>
      <w:tc>
        <w:tcPr>
          <w:tcW w:w="3120" w:type="dxa"/>
          <w:tcMar/>
        </w:tcPr>
        <w:p w:rsidR="32F487D4" w:rsidP="32F487D4" w:rsidRDefault="32F487D4" w14:paraId="20E20D99" w14:textId="0F5F922C">
          <w:pPr>
            <w:pStyle w:val="Header"/>
            <w:bidi w:val="0"/>
            <w:jc w:val="center"/>
          </w:pPr>
        </w:p>
      </w:tc>
      <w:tc>
        <w:tcPr>
          <w:tcW w:w="3120" w:type="dxa"/>
          <w:tcMar/>
        </w:tcPr>
        <w:p w:rsidR="32F487D4" w:rsidP="32F487D4" w:rsidRDefault="32F487D4" w14:paraId="5E715541" w14:textId="2D454005">
          <w:pPr>
            <w:pStyle w:val="Header"/>
            <w:bidi w:val="0"/>
            <w:ind w:right="-115"/>
            <w:jc w:val="right"/>
          </w:pPr>
        </w:p>
      </w:tc>
    </w:tr>
  </w:tbl>
  <w:p w:rsidR="32F487D4" w:rsidP="32F487D4" w:rsidRDefault="32F487D4" w14:paraId="08736D91" w14:textId="65071400">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F487D4" w:rsidTr="32F487D4" w14:paraId="5F5830E8">
      <w:trPr>
        <w:trHeight w:val="300"/>
      </w:trPr>
      <w:tc>
        <w:tcPr>
          <w:tcW w:w="3120" w:type="dxa"/>
          <w:tcMar/>
        </w:tcPr>
        <w:p w:rsidR="32F487D4" w:rsidP="32F487D4" w:rsidRDefault="32F487D4" w14:paraId="169D2899" w14:textId="1CD4E165">
          <w:pPr>
            <w:pStyle w:val="Header"/>
            <w:bidi w:val="0"/>
            <w:ind w:left="-115"/>
            <w:jc w:val="left"/>
          </w:pPr>
          <w:r w:rsidR="32F487D4">
            <w:drawing>
              <wp:inline wp14:editId="7492CE0F" wp14:anchorId="5BE65767">
                <wp:extent cx="1047750" cy="838200"/>
                <wp:effectExtent l="0" t="0" r="0" b="0"/>
                <wp:docPr id="119625960" name="" title=""/>
                <wp:cNvGraphicFramePr>
                  <a:graphicFrameLocks noChangeAspect="1"/>
                </wp:cNvGraphicFramePr>
                <a:graphic>
                  <a:graphicData uri="http://schemas.openxmlformats.org/drawingml/2006/picture">
                    <pic:pic>
                      <pic:nvPicPr>
                        <pic:cNvPr id="0" name=""/>
                        <pic:cNvPicPr/>
                      </pic:nvPicPr>
                      <pic:blipFill>
                        <a:blip r:embed="Rd3eca4a6b0cd436a">
                          <a:extLst>
                            <a:ext xmlns:a="http://schemas.openxmlformats.org/drawingml/2006/main" uri="{28A0092B-C50C-407E-A947-70E740481C1C}">
                              <a14:useLocalDpi val="0"/>
                            </a:ext>
                          </a:extLst>
                        </a:blip>
                        <a:stretch>
                          <a:fillRect/>
                        </a:stretch>
                      </pic:blipFill>
                      <pic:spPr>
                        <a:xfrm>
                          <a:off x="0" y="0"/>
                          <a:ext cx="1047750" cy="838200"/>
                        </a:xfrm>
                        <a:prstGeom prst="rect">
                          <a:avLst/>
                        </a:prstGeom>
                      </pic:spPr>
                    </pic:pic>
                  </a:graphicData>
                </a:graphic>
              </wp:inline>
            </w:drawing>
          </w:r>
          <w:r>
            <w:br/>
          </w:r>
        </w:p>
      </w:tc>
      <w:tc>
        <w:tcPr>
          <w:tcW w:w="3120" w:type="dxa"/>
          <w:tcMar/>
        </w:tcPr>
        <w:p w:rsidR="32F487D4" w:rsidP="32F487D4" w:rsidRDefault="32F487D4" w14:paraId="3F1D1427" w14:textId="17F89FAF">
          <w:pPr>
            <w:pStyle w:val="Header"/>
            <w:bidi w:val="0"/>
            <w:jc w:val="center"/>
          </w:pPr>
        </w:p>
      </w:tc>
      <w:tc>
        <w:tcPr>
          <w:tcW w:w="3120" w:type="dxa"/>
          <w:tcMar/>
        </w:tcPr>
        <w:p w:rsidR="32F487D4" w:rsidP="32F487D4" w:rsidRDefault="32F487D4" w14:paraId="08AF3652" w14:textId="14DCF158">
          <w:pPr>
            <w:pStyle w:val="Header"/>
            <w:bidi w:val="0"/>
            <w:ind w:right="-115"/>
            <w:jc w:val="right"/>
          </w:pPr>
        </w:p>
      </w:tc>
    </w:tr>
  </w:tbl>
  <w:p w:rsidR="32F487D4" w:rsidP="32F487D4" w:rsidRDefault="32F487D4" w14:paraId="152F01D1" w14:textId="36BCFC94">
    <w:pPr>
      <w:pStyle w:val="Header"/>
      <w:bidi w:val="0"/>
    </w:pPr>
  </w:p>
</w:hdr>
</file>

<file path=word/numbering.xml><?xml version="1.0" encoding="utf-8"?>
<w:numbering xmlns:w="http://schemas.openxmlformats.org/wordprocessingml/2006/main">
  <w:abstractNum xmlns:w="http://schemas.openxmlformats.org/wordprocessingml/2006/main" w:abstractNumId="4">
    <w:nsid w:val="6c2ed448"/>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1068c31"/>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13e1308"/>
    <w:multiLevelType xmlns:w="http://schemas.openxmlformats.org/wordprocessingml/2006/main" w:val="hybridMultilevel"/>
    <w:lvl xmlns:w="http://schemas.openxmlformats.org/wordprocessingml/2006/main" w:ilvl="0">
      <w:numFmt w:val="bullet"/>
      <w:lvlText w:val="•"/>
      <w:lvlJc w:val="left"/>
      <w:pPr>
        <w:ind w:left="1080" w:hanging="72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d5c4bf7"/>
    <w:multiLevelType xmlns:w="http://schemas.openxmlformats.org/wordprocessingml/2006/main" w:val="hybridMultilevel"/>
    <w:lvl xmlns:w="http://schemas.openxmlformats.org/wordprocessingml/2006/main" w:ilvl="0">
      <w:numFmt w:val="bullet"/>
      <w:lvlText w:val="•"/>
      <w:lvlJc w:val="left"/>
      <w:pPr>
        <w:ind w:left="1080" w:hanging="72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0860AF"/>
    <w:rsid w:val="264076D0"/>
    <w:rsid w:val="295ED4C2"/>
    <w:rsid w:val="32F487D4"/>
    <w:rsid w:val="3A07A6C1"/>
    <w:rsid w:val="3A6CF541"/>
    <w:rsid w:val="3A6CF541"/>
    <w:rsid w:val="44FBEE0B"/>
    <w:rsid w:val="4E0EBAB7"/>
    <w:rsid w:val="5D8670E7"/>
    <w:rsid w:val="75EFE2A5"/>
    <w:rsid w:val="7D9669CD"/>
    <w:rsid w:val="7F086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860AF"/>
  <w15:chartTrackingRefBased/>
  <w15:docId w15:val="{BB97BAEE-2FAC-42E8-A919-44651B2B40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SubHead" w:customStyle="true">
    <w:uiPriority w:val="1"/>
    <w:name w:val="Sub Head"/>
    <w:basedOn w:val="Normal"/>
    <w:rsid w:val="32F487D4"/>
    <w:rPr>
      <w:rFonts w:ascii="New York" w:hAnsi="New York" w:eastAsia="Times New Roman" w:cs="Times New Roman"/>
      <w:b w:val="1"/>
      <w:bCs w:val="1"/>
      <w:sz w:val="28"/>
      <w:szCs w:val="28"/>
      <w:lang w:eastAsia="en-US"/>
    </w:rPr>
    <w:pPr>
      <w:spacing w:line="240" w:lineRule="auto"/>
    </w:pPr>
  </w:style>
  <w:style w:type="paragraph" w:styleId="Header">
    <w:uiPriority w:val="99"/>
    <w:name w:val="header"/>
    <w:basedOn w:val="Normal"/>
    <w:unhideWhenUsed/>
    <w:rsid w:val="32F487D4"/>
    <w:pPr>
      <w:tabs>
        <w:tab w:val="center" w:leader="none" w:pos="4680"/>
        <w:tab w:val="right" w:leader="none" w:pos="9360"/>
      </w:tabs>
      <w:spacing w:after="0" w:line="240" w:lineRule="auto"/>
    </w:pPr>
  </w:style>
  <w:style w:type="paragraph" w:styleId="Footer">
    <w:uiPriority w:val="99"/>
    <w:name w:val="footer"/>
    <w:basedOn w:val="Normal"/>
    <w:unhideWhenUsed/>
    <w:rsid w:val="32F487D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5ee8213c48f4745" /><Relationship Type="http://schemas.openxmlformats.org/officeDocument/2006/relationships/footer" Target="footer.xml" Id="Ra79e2a4d494548dc" /><Relationship Type="http://schemas.openxmlformats.org/officeDocument/2006/relationships/numbering" Target="numbering.xml" Id="R42acf895ebba4e2b" /></Relationships>
</file>

<file path=word/_rels/header.xml.rels>&#65279;<?xml version="1.0" encoding="utf-8"?><Relationships xmlns="http://schemas.openxmlformats.org/package/2006/relationships"><Relationship Type="http://schemas.openxmlformats.org/officeDocument/2006/relationships/image" Target="/media/image.png" Id="Rd3eca4a6b0cd436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2025-01-27T14:04:55.7237500Z</dcterms:created>
  <dcterms:modified xsi:type="dcterms:W3CDTF">2025-01-27T16:38:22.6806727Z</dcterms:modified>
  <dc:creator>Elliott, Andrew</dc:creator>
  <lastModifiedBy>Elliott, Andrew</lastModifiedBy>
</coreProperties>
</file>